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jc w:val="center"/>
        <w:rPr>
          <w:rFonts w:ascii="宋体"/>
          <w:b/>
          <w:sz w:val="36"/>
          <w:szCs w:val="36"/>
        </w:rPr>
      </w:pPr>
    </w:p>
    <w:p>
      <w:pPr>
        <w:jc w:val="center"/>
        <w:rPr>
          <w:rFonts w:ascii="宋体"/>
          <w:b/>
          <w:sz w:val="44"/>
          <w:szCs w:val="44"/>
        </w:rPr>
      </w:pPr>
      <w:r>
        <w:rPr>
          <w:rFonts w:hint="eastAsia" w:ascii="宋体" w:hAnsi="宋体"/>
          <w:b/>
          <w:sz w:val="44"/>
          <w:szCs w:val="44"/>
        </w:rPr>
        <w:t>福州市职业技能竞赛管理办法</w:t>
      </w:r>
    </w:p>
    <w:p>
      <w:pPr>
        <w:jc w:val="center"/>
        <w:rPr>
          <w:rFonts w:hint="eastAsia" w:ascii="仿宋_GB2312" w:eastAsia="仿宋_GB2312"/>
          <w:sz w:val="32"/>
          <w:szCs w:val="32"/>
          <w:lang w:eastAsia="zh-CN"/>
        </w:rPr>
      </w:pPr>
      <w:r>
        <w:rPr>
          <w:rFonts w:hint="eastAsia" w:ascii="仿宋_GB2312" w:eastAsia="仿宋_GB2312"/>
          <w:sz w:val="32"/>
          <w:szCs w:val="32"/>
          <w:lang w:eastAsia="zh-CN"/>
        </w:rPr>
        <w:t>（征求意见稿）</w:t>
      </w:r>
    </w:p>
    <w:p>
      <w:pPr>
        <w:jc w:val="center"/>
        <w:rPr>
          <w:rFonts w:hint="eastAsia" w:ascii="仿宋_GB2312" w:eastAsia="仿宋_GB2312"/>
          <w:sz w:val="32"/>
          <w:szCs w:val="32"/>
          <w:lang w:eastAsia="zh-CN"/>
        </w:rPr>
      </w:pPr>
    </w:p>
    <w:p>
      <w:pPr>
        <w:jc w:val="center"/>
        <w:rPr>
          <w:rFonts w:ascii="仿宋_GB2312" w:eastAsia="仿宋_GB2312"/>
          <w:b/>
          <w:sz w:val="32"/>
          <w:szCs w:val="32"/>
        </w:rPr>
      </w:pPr>
      <w:r>
        <w:rPr>
          <w:rFonts w:hint="eastAsia" w:ascii="仿宋_GB2312" w:eastAsia="仿宋_GB2312"/>
          <w:b/>
          <w:sz w:val="32"/>
          <w:szCs w:val="32"/>
        </w:rPr>
        <w:t>第一章</w:t>
      </w:r>
      <w:r>
        <w:rPr>
          <w:rFonts w:ascii="仿宋_GB2312" w:eastAsia="仿宋_GB2312"/>
          <w:b/>
          <w:sz w:val="32"/>
          <w:szCs w:val="32"/>
        </w:rPr>
        <w:t xml:space="preserve"> </w:t>
      </w:r>
      <w:r>
        <w:rPr>
          <w:rFonts w:hint="eastAsia" w:ascii="仿宋_GB2312" w:eastAsia="仿宋_GB2312"/>
          <w:b/>
          <w:sz w:val="32"/>
          <w:szCs w:val="32"/>
        </w:rPr>
        <w:t>总则</w:t>
      </w:r>
    </w:p>
    <w:p>
      <w:pPr>
        <w:pStyle w:val="23"/>
        <w:spacing w:line="600" w:lineRule="exact"/>
        <w:ind w:left="630" w:firstLine="0" w:firstLineChars="0"/>
        <w:rPr>
          <w:rFonts w:ascii="仿宋_GB2312" w:hAnsi="仿宋" w:eastAsia="仿宋_GB2312" w:cs="仿宋"/>
          <w:sz w:val="32"/>
          <w:szCs w:val="32"/>
        </w:rPr>
      </w:pPr>
      <w:r>
        <w:rPr>
          <w:rFonts w:hint="eastAsia" w:ascii="仿宋_GB2312" w:hAnsi="仿宋" w:eastAsia="仿宋_GB2312" w:cs="仿宋"/>
          <w:sz w:val="32"/>
          <w:szCs w:val="32"/>
        </w:rPr>
        <w:t>第一条　为进一步加强职业技能竞赛管理、规范职业技</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能竞赛活动，完善高技能人才选拔机制，促进高技能人才队伍建设，根据《人力资源和社会保障部关于改革完善技能人才评价制度的意见》及《福建省人力资源和社会保障厅福建省财政厅关于印发〈福建省职业技能竞赛管理办法〉的通知》（闽人社发〔</w:t>
      </w:r>
      <w:r>
        <w:rPr>
          <w:rFonts w:ascii="仿宋_GB2312" w:hAnsi="仿宋" w:eastAsia="仿宋_GB2312" w:cs="仿宋"/>
          <w:sz w:val="32"/>
          <w:szCs w:val="32"/>
        </w:rPr>
        <w:t>2021</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号）、《福州市人民政府办公厅关于印发福州市职业技能竞赛奖励办法（试行）的通知》（榕政办〔</w:t>
      </w:r>
      <w:r>
        <w:rPr>
          <w:rFonts w:ascii="仿宋_GB2312" w:hAnsi="仿宋" w:eastAsia="仿宋_GB2312" w:cs="仿宋"/>
          <w:sz w:val="32"/>
          <w:szCs w:val="32"/>
        </w:rPr>
        <w:t>2021</w:t>
      </w:r>
      <w:r>
        <w:rPr>
          <w:rFonts w:hint="eastAsia" w:ascii="仿宋_GB2312" w:hAnsi="仿宋" w:eastAsia="仿宋_GB2312" w:cs="仿宋"/>
          <w:sz w:val="32"/>
          <w:szCs w:val="32"/>
        </w:rPr>
        <w:t>〕</w:t>
      </w:r>
      <w:r>
        <w:rPr>
          <w:rFonts w:ascii="仿宋_GB2312" w:hAnsi="仿宋" w:eastAsia="仿宋_GB2312" w:cs="仿宋"/>
          <w:sz w:val="32"/>
          <w:szCs w:val="32"/>
        </w:rPr>
        <w:t>98</w:t>
      </w:r>
      <w:r>
        <w:rPr>
          <w:rFonts w:hint="eastAsia" w:ascii="仿宋_GB2312" w:hAnsi="仿宋" w:eastAsia="仿宋_GB2312" w:cs="仿宋"/>
          <w:sz w:val="32"/>
          <w:szCs w:val="32"/>
        </w:rPr>
        <w:t>号）等有关规定，结合我市实际，制定本办法。</w:t>
      </w:r>
      <w:r>
        <w:rPr>
          <w:rFonts w:ascii="宋体" w:cs="宋体"/>
          <w:sz w:val="32"/>
          <w:szCs w:val="32"/>
        </w:rPr>
        <w:t> </w:t>
      </w:r>
    </w:p>
    <w:p>
      <w:pPr>
        <w:pStyle w:val="23"/>
        <w:spacing w:line="600" w:lineRule="exact"/>
        <w:ind w:left="630" w:firstLine="0" w:firstLineChars="0"/>
        <w:rPr>
          <w:rFonts w:ascii="仿宋_GB2312" w:hAnsi="仿宋" w:eastAsia="仿宋_GB2312" w:cs="仿宋"/>
          <w:sz w:val="32"/>
          <w:szCs w:val="32"/>
        </w:rPr>
      </w:pPr>
      <w:r>
        <w:rPr>
          <w:rFonts w:hint="eastAsia" w:ascii="仿宋_GB2312" w:hAnsi="仿宋" w:eastAsia="仿宋_GB2312" w:cs="仿宋"/>
          <w:sz w:val="32"/>
          <w:szCs w:val="32"/>
        </w:rPr>
        <w:t>第二条　职业技能竞赛（以下简称竞赛）活动是依据国</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家职业标准，根据国家经济建设发展对高技能人才的需要以及生产、服务工作的需求，以考核操作技能为主要内容开展的群众性活动。</w:t>
      </w:r>
      <w:r>
        <w:rPr>
          <w:rFonts w:ascii="宋体" w:cs="宋体"/>
          <w:sz w:val="32"/>
          <w:szCs w:val="32"/>
        </w:rPr>
        <w:t> </w:t>
      </w:r>
    </w:p>
    <w:p>
      <w:pPr>
        <w:pStyle w:val="23"/>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第三条　举办竞赛活动，应坚持社会效益为主，坚持公</w:t>
      </w:r>
    </w:p>
    <w:p>
      <w:pPr>
        <w:pStyle w:val="23"/>
        <w:spacing w:line="600" w:lineRule="exact"/>
        <w:ind w:firstLine="0" w:firstLineChars="0"/>
        <w:rPr>
          <w:rFonts w:ascii="仿宋_GB2312" w:hAnsi="仿宋" w:eastAsia="仿宋_GB2312" w:cs="仿宋"/>
          <w:sz w:val="32"/>
          <w:szCs w:val="32"/>
        </w:rPr>
      </w:pPr>
      <w:r>
        <w:rPr>
          <w:rFonts w:hint="eastAsia" w:ascii="仿宋_GB2312" w:hAnsi="仿宋" w:eastAsia="仿宋_GB2312" w:cs="仿宋"/>
          <w:sz w:val="32"/>
          <w:szCs w:val="32"/>
        </w:rPr>
        <w:t>开、公平、公正的原则，与职业技能培训、职业技能评价、员工业绩考核、企业生产与技术革新紧密结合。竞赛计划、竞赛技术文件、竞赛选手情况（姓名、工作单位等）、竞赛结果等应当通过政务网站等形式向社会公开。竞赛过程及竞赛结果可邀请公证部门进行公证或聘请社会监督员予以监督。</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第四条　举办竞赛活动，应当本着勤俭节约的原则进行，根据相关规定采取主办单位出资、社会赞助等多种方式筹措资金，竞赛经费应当专款专用，并接受社会和有关部门的监督。</w:t>
      </w:r>
      <w:r>
        <w:rPr>
          <w:rFonts w:ascii="仿宋_GB2312" w:hAnsi="仿宋" w:eastAsia="仿宋_GB2312" w:cs="仿宋"/>
          <w:sz w:val="32"/>
          <w:szCs w:val="32"/>
        </w:rPr>
        <w:t> </w:t>
      </w:r>
    </w:p>
    <w:p>
      <w:pPr>
        <w:pStyle w:val="23"/>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第五条　本办法适用于市级一类、二类竞赛活动及其管理。市级一类竞赛为市人力资源和社会保障局组织或会同市级以上有关部门、有关县（市）区人民政府共同组织的跨行业的竞赛。市级二类竞赛为市级单一行业或其他部门会同人社部门组织的竞赛。</w:t>
      </w:r>
      <w:r>
        <w:rPr>
          <w:rFonts w:ascii="仿宋_GB2312" w:hAnsi="仿宋" w:eastAsia="仿宋_GB2312" w:cs="仿宋"/>
          <w:sz w:val="32"/>
          <w:szCs w:val="32"/>
        </w:rPr>
        <w:t>  </w:t>
      </w:r>
    </w:p>
    <w:p>
      <w:pPr>
        <w:spacing w:line="1000" w:lineRule="exact"/>
        <w:jc w:val="center"/>
        <w:rPr>
          <w:rFonts w:ascii="仿宋_GB2312" w:eastAsia="仿宋_GB2312"/>
          <w:b/>
          <w:sz w:val="32"/>
          <w:szCs w:val="32"/>
        </w:rPr>
      </w:pPr>
      <w:r>
        <w:rPr>
          <w:rFonts w:hint="eastAsia" w:ascii="仿宋_GB2312" w:eastAsia="仿宋_GB2312"/>
          <w:b/>
          <w:sz w:val="32"/>
          <w:szCs w:val="32"/>
        </w:rPr>
        <w:t>第二章</w:t>
      </w:r>
      <w:r>
        <w:rPr>
          <w:rFonts w:ascii="仿宋_GB2312" w:eastAsia="仿宋_GB2312"/>
          <w:b/>
          <w:sz w:val="32"/>
          <w:szCs w:val="32"/>
        </w:rPr>
        <w:t xml:space="preserve"> </w:t>
      </w:r>
      <w:r>
        <w:rPr>
          <w:rFonts w:hint="eastAsia" w:ascii="仿宋_GB2312" w:eastAsia="仿宋_GB2312"/>
          <w:b/>
          <w:sz w:val="32"/>
          <w:szCs w:val="32"/>
        </w:rPr>
        <w:t>组织机构</w:t>
      </w:r>
    </w:p>
    <w:p>
      <w:pPr>
        <w:pStyle w:val="23"/>
        <w:spacing w:line="600" w:lineRule="exact"/>
        <w:ind w:left="630" w:firstLine="0" w:firstLineChars="0"/>
        <w:rPr>
          <w:rFonts w:ascii="仿宋_GB2312" w:hAnsi="仿宋" w:eastAsia="仿宋_GB2312" w:cs="仿宋"/>
          <w:sz w:val="32"/>
          <w:szCs w:val="32"/>
        </w:rPr>
      </w:pPr>
      <w:r>
        <w:rPr>
          <w:rFonts w:hint="eastAsia" w:ascii="仿宋_GB2312" w:hAnsi="仿宋" w:eastAsia="仿宋_GB2312" w:cs="仿宋"/>
          <w:sz w:val="32"/>
          <w:szCs w:val="32"/>
        </w:rPr>
        <w:t>第六条　福州市人力资源和社会保障局作为全市竞赛</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的综合管理部门，牵头成立领导小组，下设福州市职业技能竞赛管理办公室，设在福州市人事考试中心</w:t>
      </w:r>
      <w:r>
        <w:rPr>
          <w:rFonts w:ascii="仿宋_GB2312" w:hAnsi="仿宋" w:eastAsia="仿宋_GB2312" w:cs="仿宋"/>
          <w:sz w:val="32"/>
          <w:szCs w:val="32"/>
        </w:rPr>
        <w:t>(</w:t>
      </w:r>
      <w:r>
        <w:rPr>
          <w:rFonts w:hint="eastAsia" w:ascii="仿宋_GB2312" w:hAnsi="仿宋" w:eastAsia="仿宋_GB2312" w:cs="仿宋"/>
          <w:sz w:val="32"/>
          <w:szCs w:val="32"/>
        </w:rPr>
        <w:t>市职业技能鉴定指导中心</w:t>
      </w:r>
      <w:r>
        <w:rPr>
          <w:rFonts w:ascii="仿宋_GB2312" w:hAnsi="仿宋" w:eastAsia="仿宋_GB2312" w:cs="仿宋"/>
          <w:sz w:val="32"/>
          <w:szCs w:val="32"/>
        </w:rPr>
        <w:t>)</w:t>
      </w:r>
      <w:r>
        <w:rPr>
          <w:rFonts w:hint="eastAsia" w:ascii="仿宋_GB2312" w:hAnsi="仿宋" w:eastAsia="仿宋_GB2312" w:cs="仿宋"/>
          <w:sz w:val="32"/>
          <w:szCs w:val="32"/>
        </w:rPr>
        <w:t>，负责竞赛日常工作。</w:t>
      </w:r>
    </w:p>
    <w:p>
      <w:pPr>
        <w:pStyle w:val="23"/>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第七条　竞赛实行牵头主办单位负责制，并明确主、承办单位及各自职责。联合举办的，应明确各主办单位和承办单位及各自职责。</w:t>
      </w:r>
    </w:p>
    <w:p>
      <w:pPr>
        <w:spacing w:line="600" w:lineRule="exact"/>
        <w:ind w:firstLine="651"/>
        <w:rPr>
          <w:rFonts w:ascii="仿宋_GB2312" w:hAnsi="仿宋" w:eastAsia="仿宋_GB2312" w:cs="仿宋"/>
          <w:sz w:val="32"/>
          <w:szCs w:val="32"/>
        </w:rPr>
      </w:pPr>
      <w:r>
        <w:rPr>
          <w:rFonts w:hint="eastAsia" w:ascii="仿宋_GB2312" w:hAnsi="仿宋" w:eastAsia="仿宋_GB2312" w:cs="仿宋"/>
          <w:sz w:val="32"/>
          <w:szCs w:val="32"/>
        </w:rPr>
        <w:t>竞赛牵头主办单位的主要职责是：</w:t>
      </w:r>
    </w:p>
    <w:p>
      <w:pPr>
        <w:spacing w:line="600" w:lineRule="exact"/>
        <w:ind w:firstLine="651"/>
        <w:rPr>
          <w:rFonts w:ascii="仿宋_GB2312" w:hAnsi="仿宋" w:eastAsia="仿宋_GB2312" w:cs="仿宋"/>
          <w:sz w:val="32"/>
          <w:szCs w:val="32"/>
        </w:rPr>
      </w:pPr>
      <w:r>
        <w:rPr>
          <w:rFonts w:hint="eastAsia" w:ascii="仿宋_GB2312" w:hAnsi="仿宋" w:eastAsia="仿宋_GB2312" w:cs="仿宋"/>
          <w:sz w:val="32"/>
          <w:szCs w:val="32"/>
        </w:rPr>
        <w:t>（一）制定竞赛实施方案和技术规则，确定承办单位并指导落实有关事项；</w:t>
      </w:r>
    </w:p>
    <w:p>
      <w:pPr>
        <w:spacing w:line="600" w:lineRule="exact"/>
        <w:ind w:firstLine="651"/>
        <w:rPr>
          <w:rFonts w:ascii="仿宋_GB2312" w:hAnsi="仿宋" w:eastAsia="仿宋_GB2312" w:cs="仿宋"/>
          <w:sz w:val="32"/>
          <w:szCs w:val="32"/>
        </w:rPr>
      </w:pPr>
      <w:r>
        <w:rPr>
          <w:rFonts w:hint="eastAsia" w:ascii="仿宋_GB2312" w:hAnsi="仿宋" w:eastAsia="仿宋_GB2312" w:cs="仿宋"/>
          <w:sz w:val="32"/>
          <w:szCs w:val="32"/>
        </w:rPr>
        <w:t>（二）负责竞赛整体安排和组织管理；</w:t>
      </w:r>
    </w:p>
    <w:p>
      <w:pPr>
        <w:spacing w:line="600" w:lineRule="exact"/>
        <w:ind w:firstLine="651"/>
        <w:rPr>
          <w:rFonts w:ascii="仿宋_GB2312" w:hAnsi="仿宋" w:eastAsia="仿宋_GB2312" w:cs="仿宋"/>
          <w:sz w:val="32"/>
          <w:szCs w:val="32"/>
        </w:rPr>
      </w:pPr>
      <w:r>
        <w:rPr>
          <w:rFonts w:hint="eastAsia" w:ascii="仿宋_GB2312" w:hAnsi="仿宋" w:eastAsia="仿宋_GB2312" w:cs="仿宋"/>
          <w:sz w:val="32"/>
          <w:szCs w:val="32"/>
        </w:rPr>
        <w:t>（三）组织相关单位参赛，审核参赛选手资格；</w:t>
      </w:r>
    </w:p>
    <w:p>
      <w:pPr>
        <w:spacing w:line="600" w:lineRule="exact"/>
        <w:ind w:firstLine="651"/>
        <w:rPr>
          <w:rFonts w:ascii="仿宋_GB2312" w:hAnsi="仿宋" w:eastAsia="仿宋_GB2312" w:cs="仿宋"/>
          <w:sz w:val="32"/>
          <w:szCs w:val="32"/>
        </w:rPr>
      </w:pPr>
      <w:r>
        <w:rPr>
          <w:rFonts w:hint="eastAsia" w:ascii="仿宋_GB2312" w:hAnsi="仿宋" w:eastAsia="仿宋_GB2312" w:cs="仿宋"/>
          <w:sz w:val="32"/>
          <w:szCs w:val="32"/>
        </w:rPr>
        <w:t>（四）负责竞赛事项的协调联络；</w:t>
      </w:r>
    </w:p>
    <w:p>
      <w:pPr>
        <w:spacing w:line="600" w:lineRule="exact"/>
        <w:ind w:firstLine="651"/>
        <w:rPr>
          <w:rFonts w:ascii="仿宋_GB2312" w:hAnsi="仿宋" w:eastAsia="仿宋_GB2312" w:cs="仿宋"/>
          <w:sz w:val="32"/>
          <w:szCs w:val="32"/>
        </w:rPr>
      </w:pPr>
      <w:r>
        <w:rPr>
          <w:rFonts w:hint="eastAsia" w:ascii="仿宋_GB2312" w:hAnsi="仿宋" w:eastAsia="仿宋_GB2312" w:cs="仿宋"/>
          <w:sz w:val="32"/>
          <w:szCs w:val="32"/>
        </w:rPr>
        <w:t>（五）负责竞赛经费筹集、管理。</w:t>
      </w:r>
      <w:r>
        <w:rPr>
          <w:rFonts w:ascii="仿宋_GB2312" w:hAnsi="仿宋" w:eastAsia="仿宋_GB2312" w:cs="仿宋"/>
          <w:sz w:val="32"/>
          <w:szCs w:val="32"/>
        </w:rPr>
        <w:t> </w:t>
      </w:r>
    </w:p>
    <w:p>
      <w:pPr>
        <w:spacing w:line="600" w:lineRule="exact"/>
        <w:ind w:firstLine="665"/>
        <w:rPr>
          <w:rFonts w:ascii="仿宋_GB2312" w:hAnsi="仿宋" w:eastAsia="仿宋_GB2312" w:cs="仿宋"/>
          <w:sz w:val="32"/>
          <w:szCs w:val="32"/>
        </w:rPr>
      </w:pPr>
      <w:r>
        <w:rPr>
          <w:rFonts w:hint="eastAsia" w:ascii="仿宋_GB2312" w:hAnsi="仿宋" w:eastAsia="仿宋_GB2312" w:cs="仿宋"/>
          <w:sz w:val="32"/>
          <w:szCs w:val="32"/>
        </w:rPr>
        <w:t>第八条　竞赛组织委员会</w:t>
      </w:r>
    </w:p>
    <w:p>
      <w:pPr>
        <w:spacing w:line="600" w:lineRule="exact"/>
        <w:ind w:firstLine="665"/>
        <w:rPr>
          <w:rFonts w:ascii="仿宋_GB2312" w:hAnsi="仿宋" w:eastAsia="仿宋_GB2312" w:cs="仿宋"/>
          <w:sz w:val="32"/>
          <w:szCs w:val="32"/>
        </w:rPr>
      </w:pPr>
      <w:r>
        <w:rPr>
          <w:rFonts w:hint="eastAsia" w:ascii="仿宋_GB2312" w:hAnsi="仿宋" w:eastAsia="仿宋_GB2312" w:cs="仿宋"/>
          <w:sz w:val="32"/>
          <w:szCs w:val="32"/>
        </w:rPr>
        <w:t>举办具体竞赛活动应成立由主办单位和牵头承办单位负责人参加的临时性组织机构竞赛组织委员会（以下称组委会），全面负责竞赛的组织领导工作，组委会下设组委会办公室具体负责竞赛的实施工作。</w:t>
      </w:r>
    </w:p>
    <w:p>
      <w:pPr>
        <w:spacing w:line="600" w:lineRule="exact"/>
        <w:ind w:firstLine="665"/>
        <w:rPr>
          <w:rFonts w:ascii="仿宋_GB2312" w:hAnsi="仿宋" w:eastAsia="仿宋_GB2312" w:cs="仿宋"/>
          <w:sz w:val="32"/>
          <w:szCs w:val="32"/>
        </w:rPr>
      </w:pPr>
      <w:r>
        <w:rPr>
          <w:rFonts w:hint="eastAsia" w:ascii="仿宋_GB2312" w:hAnsi="仿宋" w:eastAsia="仿宋_GB2312" w:cs="仿宋"/>
          <w:sz w:val="32"/>
          <w:szCs w:val="32"/>
        </w:rPr>
        <w:t>组委会办公室应成立专门监督仲裁工作组和技术专家组。</w:t>
      </w:r>
      <w:r>
        <w:rPr>
          <w:rFonts w:ascii="仿宋_GB2312" w:hAnsi="仿宋" w:eastAsia="仿宋_GB2312" w:cs="仿宋"/>
          <w:sz w:val="32"/>
          <w:szCs w:val="32"/>
        </w:rPr>
        <w:t>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（一）竞赛监督仲裁工作组，负责督促竞赛规范实施，监督裁判人员执裁工作，受理申诉并进行仲裁。</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技术专家组负责每场竞赛的技术工作。主要包括组织制订竞赛规则、评分标准及竞赛技术性文件；负责竞赛场地、器械、设备（包括对考试试件的检测设备）的检验、检测、确认及分配；负责裁判员培训、竞赛评分过程监督及竞赛成绩分析、参与竞赛结果复核、赛事技术点评及组委会安排的其他赛务工作。为保证竞赛命题的公正性和保密性，技术专家组下设命题组，专门负责竞赛命题工作。</w:t>
      </w:r>
      <w:r>
        <w:rPr>
          <w:rFonts w:ascii="仿宋_GB2312" w:hAnsi="仿宋" w:eastAsia="仿宋_GB2312" w:cs="仿宋"/>
          <w:sz w:val="32"/>
          <w:szCs w:val="32"/>
        </w:rPr>
        <w:t> </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第九条　竞赛执委会</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竞赛牵头承办单位应成立竞赛执委会，负责竞赛具体赛务的组织实施。设立相应工作组，负责落实竞赛赛务具体组织、技术实施、开（闭）幕式活动准备工作、交通食宿服务、健康安全服务保障等，并负责提供竞赛场地、设备等物质条件以及其他必要的后勤服务。组织编制《赛务手册》，并为参赛选手购买参赛期间人身意外伤害保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竞赛执委会在竞赛技术专家组的指导下，实施竞赛技术保障。</w:t>
      </w:r>
    </w:p>
    <w:p>
      <w:pPr>
        <w:spacing w:line="1000" w:lineRule="exact"/>
        <w:jc w:val="center"/>
        <w:rPr>
          <w:rFonts w:ascii="仿宋_GB2312" w:eastAsia="仿宋_GB2312"/>
          <w:b/>
          <w:sz w:val="32"/>
          <w:szCs w:val="32"/>
        </w:rPr>
      </w:pPr>
      <w:r>
        <w:rPr>
          <w:rFonts w:hint="eastAsia" w:ascii="仿宋_GB2312" w:eastAsia="仿宋_GB2312"/>
          <w:b/>
          <w:sz w:val="32"/>
          <w:szCs w:val="32"/>
        </w:rPr>
        <w:t>第三章</w:t>
      </w:r>
      <w:r>
        <w:rPr>
          <w:rFonts w:ascii="仿宋_GB2312" w:eastAsia="仿宋_GB2312"/>
          <w:b/>
          <w:sz w:val="32"/>
          <w:szCs w:val="32"/>
        </w:rPr>
        <w:t> </w:t>
      </w:r>
      <w:r>
        <w:rPr>
          <w:rFonts w:hint="eastAsia" w:ascii="仿宋_GB2312" w:eastAsia="仿宋_GB2312"/>
          <w:b/>
          <w:sz w:val="32"/>
          <w:szCs w:val="32"/>
        </w:rPr>
        <w:t>备案立项</w:t>
      </w:r>
    </w:p>
    <w:p>
      <w:pPr>
        <w:spacing w:line="600" w:lineRule="exact"/>
        <w:rPr>
          <w:rFonts w:ascii="仿宋_GB2312" w:hAnsi="仿宋" w:eastAsia="仿宋_GB2312" w:cs="仿宋"/>
          <w:sz w:val="32"/>
          <w:szCs w:val="32"/>
        </w:rPr>
      </w:pPr>
      <w:r>
        <w:rPr>
          <w:rFonts w:hint="eastAsia" w:ascii="仿宋_GB2312" w:eastAsia="仿宋_GB2312"/>
          <w:sz w:val="32"/>
          <w:szCs w:val="32"/>
        </w:rPr>
        <w:t>　</w:t>
      </w:r>
      <w:r>
        <w:rPr>
          <w:rFonts w:hint="eastAsia" w:ascii="仿宋_GB2312" w:hAnsi="仿宋" w:eastAsia="仿宋_GB2312" w:cs="仿宋"/>
          <w:sz w:val="32"/>
          <w:szCs w:val="32"/>
        </w:rPr>
        <w:t>　第十条　竞赛活动实行申报、备案、发布制度。举办市级竞赛</w:t>
      </w:r>
      <w:r>
        <w:rPr>
          <w:rFonts w:ascii="仿宋_GB2312" w:hAnsi="仿宋" w:eastAsia="仿宋_GB2312" w:cs="仿宋"/>
          <w:sz w:val="32"/>
          <w:szCs w:val="32"/>
        </w:rPr>
        <w:t>,</w:t>
      </w:r>
      <w:r>
        <w:rPr>
          <w:rFonts w:hint="eastAsia" w:ascii="仿宋_GB2312" w:hAnsi="仿宋" w:eastAsia="仿宋_GB2312" w:cs="仿宋"/>
          <w:sz w:val="32"/>
          <w:szCs w:val="32"/>
        </w:rPr>
        <w:t>应向市职业技能竞赛组委会管理办公室申报。</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竞赛的主办、承办单位应具备以下条件：</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（一）能够独立承担民事责任；</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（二）有与竞赛组织工作要求相适应的组织机构和管理人员；</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（三）有与竞赛水平相适应的专家队伍并能按要求完成相应的赛务工作；</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（四）有与竞赛规模相适应的经费支持；</w:t>
      </w:r>
    </w:p>
    <w:p>
      <w:pPr>
        <w:spacing w:line="600" w:lineRule="exact"/>
        <w:jc w:val="left"/>
        <w:rPr>
          <w:rFonts w:ascii="仿宋_GB2312" w:hAnsi="仿宋" w:eastAsia="仿宋_GB2312" w:cs="仿宋"/>
          <w:sz w:val="32"/>
          <w:szCs w:val="32"/>
        </w:rPr>
      </w:pPr>
      <w:r>
        <w:rPr>
          <w:rFonts w:hint="eastAsia" w:ascii="仿宋_GB2312" w:hAnsi="仿宋" w:eastAsia="仿宋_GB2312" w:cs="仿宋"/>
          <w:sz w:val="32"/>
          <w:szCs w:val="32"/>
        </w:rPr>
        <w:t>　　（五）有完善的竞赛实施方案、竞赛规则及评分方法及标准；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（六）具备竞赛所需的场所、设施设备和器材，有完善的赛务、安全、环保等保障措施及相关应急防范制度；</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（七）举办竞赛的职业工种应为竞赛主办单位的主营（主责、教学）的职业工种。</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第十一条　竞赛活动的实施期限以自然年划分，各类竞赛活动应在竞赛实施期限内结束并确认竞赛结果，确保竞赛在自然年内组织完成。</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主办单位应在每年十二月底前向市职业技能竞赛管理办公室报送下一年度市级竞赛活动计划；对符合申办条件的，列入竞赛年度计划，向社会公布，并抄送市财政局。</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竞赛活动列入计划后，主办单位如需调整或变更竞赛名称和内容的，应在竞赛日前</w:t>
      </w:r>
      <w:r>
        <w:rPr>
          <w:rFonts w:ascii="仿宋_GB2312" w:hAnsi="仿宋" w:eastAsia="仿宋_GB2312" w:cs="仿宋"/>
          <w:sz w:val="32"/>
          <w:szCs w:val="32"/>
        </w:rPr>
        <w:t>30</w:t>
      </w:r>
      <w:r>
        <w:rPr>
          <w:rFonts w:hint="eastAsia" w:ascii="仿宋_GB2312" w:hAnsi="仿宋" w:eastAsia="仿宋_GB2312" w:cs="仿宋"/>
          <w:sz w:val="32"/>
          <w:szCs w:val="32"/>
        </w:rPr>
        <w:t>日向市职业技能竞赛管理办公室办理变更手续，并通知相关部门。竞赛活动通知下发后，主办单位由于特殊原因确需取消竞赛活动的，原则上应在原竞赛日前</w:t>
      </w:r>
      <w:r>
        <w:rPr>
          <w:rFonts w:ascii="仿宋_GB2312" w:hAnsi="仿宋" w:eastAsia="仿宋_GB2312" w:cs="仿宋"/>
          <w:sz w:val="32"/>
          <w:szCs w:val="32"/>
        </w:rPr>
        <w:t>30</w:t>
      </w:r>
      <w:r>
        <w:rPr>
          <w:rFonts w:hint="eastAsia" w:ascii="仿宋_GB2312" w:hAnsi="仿宋" w:eastAsia="仿宋_GB2312" w:cs="仿宋"/>
          <w:sz w:val="32"/>
          <w:szCs w:val="32"/>
        </w:rPr>
        <w:t>日向市职业技能竞赛管理办公室提出书面说明，征得同意后，方可取消竞赛活动，并做好善后处理工作。如因参赛选手不足等原因达不到本办法规定条件导致无法举办竞赛的，主办单位必须做好善后处理工作。</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第十二条　主办单位应在启动竞赛前</w:t>
      </w:r>
      <w:r>
        <w:rPr>
          <w:rFonts w:ascii="仿宋_GB2312" w:hAnsi="仿宋" w:eastAsia="仿宋_GB2312" w:cs="仿宋"/>
          <w:sz w:val="32"/>
          <w:szCs w:val="32"/>
        </w:rPr>
        <w:t>30</w:t>
      </w:r>
      <w:r>
        <w:rPr>
          <w:rFonts w:hint="eastAsia" w:ascii="仿宋_GB2312" w:hAnsi="仿宋" w:eastAsia="仿宋_GB2312" w:cs="仿宋"/>
          <w:sz w:val="32"/>
          <w:szCs w:val="32"/>
        </w:rPr>
        <w:t>日向市职业技能竞赛管理办公室报送以下材料一式三份：</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（一）组委会及组委会办公室成员名单；</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（二）竞赛经费预算和竞赛组织实施方案；</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（三）竞赛活动所需场地、设备、技术检测手段等情况简介。</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第十三条　竞赛主办单位拟邀请境外机构和人员参与竞赛活动的，应在赛前</w:t>
      </w:r>
      <w:r>
        <w:rPr>
          <w:rFonts w:ascii="仿宋_GB2312" w:hAnsi="仿宋" w:eastAsia="仿宋_GB2312" w:cs="仿宋"/>
          <w:sz w:val="32"/>
          <w:szCs w:val="32"/>
        </w:rPr>
        <w:t>30</w:t>
      </w:r>
      <w:r>
        <w:rPr>
          <w:rFonts w:hint="eastAsia" w:ascii="仿宋_GB2312" w:hAnsi="仿宋" w:eastAsia="仿宋_GB2312" w:cs="仿宋"/>
          <w:sz w:val="32"/>
          <w:szCs w:val="32"/>
        </w:rPr>
        <w:t>日向市职业技能竞赛管理办公室报备。</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第十四条　主办单位有下列情况之一的，市职业技能竞赛管理办公室有权取消其举办资格：</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（一）未经有关部门的同意，擅自更改竞赛时间、地点、名称的；</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（二）未按竞赛规则和组织实施方案的规定，擅自变更竞赛内容的；</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（三）组织管理不善，在竞赛过程中造成重大事故的；</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（四）未按照竞赛规则、竞赛评判标准做到公平、公开、公正，营私舞弊，成绩失实，造成恶劣影响的；</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（五）其他违反国家法律、法规的。</w:t>
      </w:r>
      <w:r>
        <w:rPr>
          <w:rFonts w:ascii="仿宋_GB2312" w:hAnsi="仿宋" w:eastAsia="仿宋_GB2312" w:cs="仿宋"/>
          <w:sz w:val="32"/>
          <w:szCs w:val="32"/>
        </w:rPr>
        <w:t> </w:t>
      </w:r>
    </w:p>
    <w:p>
      <w:pPr>
        <w:spacing w:line="1000" w:lineRule="exact"/>
        <w:jc w:val="center"/>
        <w:rPr>
          <w:rFonts w:ascii="仿宋_GB2312" w:eastAsia="仿宋_GB2312"/>
          <w:b/>
          <w:sz w:val="32"/>
          <w:szCs w:val="32"/>
        </w:rPr>
      </w:pPr>
      <w:r>
        <w:rPr>
          <w:rFonts w:hint="eastAsia" w:ascii="仿宋_GB2312" w:eastAsia="仿宋_GB2312"/>
          <w:b/>
          <w:sz w:val="32"/>
          <w:szCs w:val="32"/>
        </w:rPr>
        <w:t>第四章</w:t>
      </w:r>
      <w:r>
        <w:rPr>
          <w:rFonts w:ascii="仿宋_GB2312" w:eastAsia="仿宋_GB2312"/>
          <w:b/>
          <w:sz w:val="32"/>
          <w:szCs w:val="32"/>
        </w:rPr>
        <w:t> </w:t>
      </w:r>
      <w:r>
        <w:rPr>
          <w:rFonts w:hint="eastAsia" w:ascii="仿宋_GB2312" w:eastAsia="仿宋_GB2312"/>
          <w:b/>
          <w:sz w:val="32"/>
          <w:szCs w:val="32"/>
        </w:rPr>
        <w:t>组织实施</w:t>
      </w:r>
    </w:p>
    <w:p>
      <w:pPr>
        <w:spacing w:line="600" w:lineRule="exact"/>
        <w:rPr>
          <w:rFonts w:ascii="仿宋_GB2312" w:hAnsi="仿宋" w:eastAsia="仿宋_GB2312" w:cs="仿宋"/>
          <w:sz w:val="32"/>
          <w:szCs w:val="32"/>
        </w:rPr>
      </w:pPr>
      <w:r>
        <w:rPr>
          <w:rFonts w:hint="eastAsia" w:ascii="仿宋_GB2312" w:eastAsia="仿宋_GB2312"/>
          <w:sz w:val="32"/>
          <w:szCs w:val="32"/>
        </w:rPr>
        <w:t>　</w:t>
      </w:r>
      <w:r>
        <w:rPr>
          <w:rFonts w:hint="eastAsia" w:ascii="仿宋_GB2312" w:hAnsi="仿宋" w:eastAsia="仿宋_GB2312" w:cs="仿宋"/>
          <w:sz w:val="32"/>
          <w:szCs w:val="32"/>
        </w:rPr>
        <w:t>　第十五条　同一职业工种市级一类、二类竞赛每两年举办一次，竞赛可分选拔赛、决赛两个阶段。</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第十六条　市级一类竞赛决赛每个职业工种参赛人数一般为</w:t>
      </w:r>
      <w:r>
        <w:rPr>
          <w:rFonts w:ascii="仿宋_GB2312" w:hAnsi="仿宋" w:eastAsia="仿宋_GB2312" w:cs="仿宋"/>
          <w:sz w:val="32"/>
          <w:szCs w:val="32"/>
        </w:rPr>
        <w:t>30</w:t>
      </w:r>
      <w:r>
        <w:rPr>
          <w:rFonts w:hint="eastAsia" w:ascii="仿宋_GB2312" w:hAnsi="仿宋" w:eastAsia="仿宋_GB2312" w:cs="仿宋"/>
          <w:sz w:val="32"/>
          <w:szCs w:val="32"/>
        </w:rPr>
        <w:t>－</w:t>
      </w:r>
      <w:r>
        <w:rPr>
          <w:rFonts w:ascii="仿宋_GB2312" w:hAnsi="仿宋" w:eastAsia="仿宋_GB2312" w:cs="仿宋"/>
          <w:sz w:val="32"/>
          <w:szCs w:val="32"/>
        </w:rPr>
        <w:t>60</w:t>
      </w:r>
      <w:r>
        <w:rPr>
          <w:rFonts w:hint="eastAsia" w:ascii="仿宋_GB2312" w:hAnsi="仿宋" w:eastAsia="仿宋_GB2312" w:cs="仿宋"/>
          <w:sz w:val="32"/>
          <w:szCs w:val="32"/>
        </w:rPr>
        <w:t>人，须有七个县（市）区以上派队参赛；市级二类竞赛决赛每个职业工种参赛人数一般为</w:t>
      </w:r>
      <w:r>
        <w:rPr>
          <w:rFonts w:ascii="仿宋_GB2312" w:hAnsi="仿宋" w:eastAsia="仿宋_GB2312" w:cs="仿宋"/>
          <w:sz w:val="32"/>
          <w:szCs w:val="32"/>
        </w:rPr>
        <w:t>30</w:t>
      </w:r>
      <w:r>
        <w:rPr>
          <w:rFonts w:hint="eastAsia" w:ascii="仿宋_GB2312" w:hAnsi="仿宋" w:eastAsia="仿宋_GB2312" w:cs="仿宋"/>
          <w:sz w:val="32"/>
          <w:szCs w:val="32"/>
        </w:rPr>
        <w:t>－</w:t>
      </w:r>
      <w:r>
        <w:rPr>
          <w:rFonts w:ascii="仿宋_GB2312" w:hAnsi="仿宋" w:eastAsia="仿宋_GB2312" w:cs="仿宋"/>
          <w:sz w:val="32"/>
          <w:szCs w:val="32"/>
        </w:rPr>
        <w:t>60</w:t>
      </w:r>
      <w:r>
        <w:rPr>
          <w:rFonts w:hint="eastAsia" w:ascii="仿宋_GB2312" w:hAnsi="仿宋" w:eastAsia="仿宋_GB2312" w:cs="仿宋"/>
          <w:sz w:val="32"/>
          <w:szCs w:val="32"/>
        </w:rPr>
        <w:t>人，须四个县（市）区以上派队参赛。</w:t>
      </w:r>
      <w:r>
        <w:rPr>
          <w:rFonts w:ascii="仿宋_GB2312" w:hAnsi="仿宋" w:eastAsia="仿宋_GB2312" w:cs="仿宋"/>
          <w:sz w:val="32"/>
          <w:szCs w:val="32"/>
        </w:rPr>
        <w:t> </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第十七条　举办竞赛活动，应严格按照国家职业标准组织实施，同时可根据竞赛职业工种的实际情况，适当参照世界技能大赛的组织标准。市级一类竞赛职业工种范围应为国家职业标准中设有高级工</w:t>
      </w:r>
      <w:r>
        <w:rPr>
          <w:rFonts w:ascii="仿宋_GB2312" w:hAnsi="仿宋" w:eastAsia="仿宋_GB2312" w:cs="仿宋"/>
          <w:sz w:val="32"/>
          <w:szCs w:val="32"/>
        </w:rPr>
        <w:t>(</w:t>
      </w:r>
      <w:r>
        <w:rPr>
          <w:rFonts w:hint="eastAsia" w:ascii="仿宋_GB2312" w:hAnsi="仿宋" w:eastAsia="仿宋_GB2312" w:cs="仿宋"/>
          <w:sz w:val="32"/>
          <w:szCs w:val="32"/>
        </w:rPr>
        <w:t>三级</w:t>
      </w:r>
      <w:r>
        <w:rPr>
          <w:rFonts w:ascii="仿宋_GB2312" w:hAnsi="仿宋" w:eastAsia="仿宋_GB2312" w:cs="仿宋"/>
          <w:sz w:val="32"/>
          <w:szCs w:val="32"/>
        </w:rPr>
        <w:t>)</w:t>
      </w:r>
      <w:r>
        <w:rPr>
          <w:rFonts w:hint="eastAsia" w:ascii="仿宋_GB2312" w:hAnsi="仿宋" w:eastAsia="仿宋_GB2312" w:cs="仿宋"/>
          <w:sz w:val="32"/>
          <w:szCs w:val="32"/>
        </w:rPr>
        <w:t>及以上等级的职业工种</w:t>
      </w:r>
      <w:r>
        <w:rPr>
          <w:rFonts w:ascii="仿宋_GB2312" w:hAnsi="仿宋" w:eastAsia="仿宋_GB2312" w:cs="仿宋"/>
          <w:sz w:val="32"/>
          <w:szCs w:val="32"/>
        </w:rPr>
        <w:t>;</w:t>
      </w:r>
      <w:r>
        <w:rPr>
          <w:rFonts w:hint="eastAsia" w:ascii="仿宋_GB2312" w:hAnsi="仿宋" w:eastAsia="仿宋_GB2312" w:cs="仿宋"/>
          <w:sz w:val="32"/>
          <w:szCs w:val="32"/>
        </w:rPr>
        <w:t>市级二类竞赛应为国家职业标准中设有中级</w:t>
      </w:r>
      <w:r>
        <w:rPr>
          <w:rFonts w:ascii="仿宋_GB2312" w:hAnsi="仿宋" w:eastAsia="仿宋_GB2312" w:cs="仿宋"/>
          <w:sz w:val="32"/>
          <w:szCs w:val="32"/>
        </w:rPr>
        <w:t>(</w:t>
      </w:r>
      <w:r>
        <w:rPr>
          <w:rFonts w:hint="eastAsia" w:ascii="仿宋_GB2312" w:hAnsi="仿宋" w:eastAsia="仿宋_GB2312" w:cs="仿宋"/>
          <w:sz w:val="32"/>
          <w:szCs w:val="32"/>
        </w:rPr>
        <w:t>四级</w:t>
      </w:r>
      <w:r>
        <w:rPr>
          <w:rFonts w:ascii="仿宋_GB2312" w:hAnsi="仿宋" w:eastAsia="仿宋_GB2312" w:cs="仿宋"/>
          <w:sz w:val="32"/>
          <w:szCs w:val="32"/>
        </w:rPr>
        <w:t>)</w:t>
      </w:r>
      <w:r>
        <w:rPr>
          <w:rFonts w:hint="eastAsia" w:ascii="仿宋_GB2312" w:hAnsi="仿宋" w:eastAsia="仿宋_GB2312" w:cs="仿宋"/>
          <w:sz w:val="32"/>
          <w:szCs w:val="32"/>
        </w:rPr>
        <w:t>及以上等级的职业工种，暂未列入国家职业工种目录范围的新职业工种除外。专项职业能力竞赛应在《福建省专项职业能力考核目录》职业工种范围内。</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第十八条　参赛选手条件</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（一）市级一类赛参赛选手一般应持有中级技能等级</w:t>
      </w:r>
      <w:r>
        <w:rPr>
          <w:rFonts w:ascii="仿宋_GB2312" w:hAnsi="仿宋" w:eastAsia="仿宋_GB2312" w:cs="仿宋"/>
          <w:sz w:val="32"/>
          <w:szCs w:val="32"/>
        </w:rPr>
        <w:t>(</w:t>
      </w:r>
      <w:r>
        <w:rPr>
          <w:rFonts w:hint="eastAsia" w:ascii="仿宋_GB2312" w:hAnsi="仿宋" w:eastAsia="仿宋_GB2312" w:cs="仿宋"/>
          <w:sz w:val="32"/>
          <w:szCs w:val="32"/>
        </w:rPr>
        <w:t>职业资格</w:t>
      </w:r>
      <w:r>
        <w:rPr>
          <w:rFonts w:ascii="仿宋_GB2312" w:hAnsi="仿宋" w:eastAsia="仿宋_GB2312" w:cs="仿宋"/>
          <w:sz w:val="32"/>
          <w:szCs w:val="32"/>
        </w:rPr>
        <w:t>)</w:t>
      </w:r>
      <w:r>
        <w:rPr>
          <w:rFonts w:hint="eastAsia" w:ascii="仿宋_GB2312" w:hAnsi="仿宋" w:eastAsia="仿宋_GB2312" w:cs="仿宋"/>
          <w:sz w:val="32"/>
          <w:szCs w:val="32"/>
        </w:rPr>
        <w:t>证书或助理级以上职称；未取得的，应从事本职业工作五年以上，经单位推荐，组委会同意方可参赛。</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（二）市级二类赛参赛选手一般应持有初级技能等级</w:t>
      </w:r>
      <w:r>
        <w:rPr>
          <w:rFonts w:ascii="仿宋_GB2312" w:hAnsi="仿宋" w:eastAsia="仿宋_GB2312" w:cs="仿宋"/>
          <w:sz w:val="32"/>
          <w:szCs w:val="32"/>
        </w:rPr>
        <w:t>(</w:t>
      </w:r>
      <w:r>
        <w:rPr>
          <w:rFonts w:hint="eastAsia" w:ascii="仿宋_GB2312" w:hAnsi="仿宋" w:eastAsia="仿宋_GB2312" w:cs="仿宋"/>
          <w:sz w:val="32"/>
          <w:szCs w:val="32"/>
        </w:rPr>
        <w:t>职业资格</w:t>
      </w:r>
      <w:r>
        <w:rPr>
          <w:rFonts w:ascii="仿宋_GB2312" w:hAnsi="仿宋" w:eastAsia="仿宋_GB2312" w:cs="仿宋"/>
          <w:sz w:val="32"/>
          <w:szCs w:val="32"/>
        </w:rPr>
        <w:t>)</w:t>
      </w:r>
      <w:r>
        <w:rPr>
          <w:rFonts w:hint="eastAsia" w:ascii="仿宋_GB2312" w:hAnsi="仿宋" w:eastAsia="仿宋_GB2312" w:cs="仿宋"/>
          <w:sz w:val="32"/>
          <w:szCs w:val="32"/>
        </w:rPr>
        <w:t>证书，未取得的，应从事本职业工作三年以上，经单位推荐，组委会同意方可参赛。</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（三）专项职业能力项目可适当参照市级二类赛标准举办。</w:t>
      </w:r>
    </w:p>
    <w:p>
      <w:pPr>
        <w:spacing w:line="600" w:lineRule="exact"/>
        <w:ind w:firstLine="640"/>
        <w:rPr>
          <w:rFonts w:ascii="仿宋_GB2312" w:hAnsi="仿宋" w:eastAsia="仿宋_GB2312" w:cs="仿宋"/>
          <w:bCs/>
          <w:sz w:val="32"/>
          <w:szCs w:val="32"/>
        </w:rPr>
      </w:pPr>
      <w:r>
        <w:rPr>
          <w:rFonts w:hint="eastAsia" w:ascii="仿宋_GB2312" w:hAnsi="仿宋" w:eastAsia="仿宋_GB2312" w:cs="仿宋"/>
          <w:bCs/>
          <w:sz w:val="32"/>
          <w:szCs w:val="32"/>
        </w:rPr>
        <w:t>根据实际情况，部分职业可适当放宽报名条件。</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第十九条　竞赛裁判员条件</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（一）拥护党的纲领，政治立场坚定，热爱本职工作，具有良好的职业道德和心理素质；</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（二）能够自觉坚持公平、公正原则，秉公执法，不徇私情；</w:t>
      </w:r>
      <w:r>
        <w:rPr>
          <w:rFonts w:ascii="仿宋_GB2312" w:hAnsi="仿宋" w:eastAsia="仿宋_GB2312" w:cs="仿宋"/>
          <w:sz w:val="32"/>
          <w:szCs w:val="32"/>
        </w:rPr>
        <w:t> </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（三）具有本职业工种技师以上技能等级或本专业中级以上专业技术职称；</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（四）从事本职业工种工作</w:t>
      </w:r>
      <w:r>
        <w:rPr>
          <w:rFonts w:ascii="仿宋_GB2312" w:hAnsi="仿宋" w:eastAsia="仿宋_GB2312" w:cs="仿宋"/>
          <w:sz w:val="32"/>
          <w:szCs w:val="32"/>
        </w:rPr>
        <w:t>5</w:t>
      </w:r>
      <w:r>
        <w:rPr>
          <w:rFonts w:hint="eastAsia" w:ascii="仿宋_GB2312" w:hAnsi="仿宋" w:eastAsia="仿宋_GB2312" w:cs="仿宋"/>
          <w:sz w:val="32"/>
          <w:szCs w:val="32"/>
        </w:rPr>
        <w:t>年以上，并在该职业工种技术、技能方面获得较高声誉；</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（五）具有较高的裁判理论水平和丰富的实践操作经验，熟练掌握竞赛规则，现场运用准确、得当；</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（六）原则上年龄应在</w:t>
      </w:r>
      <w:r>
        <w:rPr>
          <w:rFonts w:ascii="仿宋_GB2312" w:hAnsi="仿宋" w:eastAsia="仿宋_GB2312" w:cs="仿宋"/>
          <w:sz w:val="32"/>
          <w:szCs w:val="32"/>
        </w:rPr>
        <w:t>65</w:t>
      </w:r>
      <w:r>
        <w:rPr>
          <w:rFonts w:hint="eastAsia" w:ascii="仿宋_GB2312" w:hAnsi="仿宋" w:eastAsia="仿宋_GB2312" w:cs="仿宋"/>
          <w:sz w:val="32"/>
          <w:szCs w:val="32"/>
        </w:rPr>
        <w:t>周岁以下，身体健康，能够胜任裁判工作；　　</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（七）每一竞赛职业工种裁判人数不得少于</w:t>
      </w:r>
      <w:r>
        <w:rPr>
          <w:rFonts w:ascii="仿宋_GB2312" w:hAnsi="仿宋" w:eastAsia="仿宋_GB2312" w:cs="仿宋"/>
          <w:sz w:val="32"/>
          <w:szCs w:val="32"/>
        </w:rPr>
        <w:t>3</w:t>
      </w:r>
      <w:r>
        <w:rPr>
          <w:rFonts w:hint="eastAsia" w:ascii="仿宋_GB2312" w:hAnsi="仿宋" w:eastAsia="仿宋_GB2312" w:cs="仿宋"/>
          <w:sz w:val="32"/>
          <w:szCs w:val="32"/>
        </w:rPr>
        <w:t>人，具体人数由技术专家组提出。</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第二十条　竞赛裁判人员的产生</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竞赛裁判人员一般应从竞赛职业工种的主管行业中，自下而上选择推荐工程技术人员、职业院校教师和企业具有高级技师或本专业中级专业技术职称以上的专家担任；具有竞赛职业工种考评员资格的人员以及历届竞赛成绩优异的选手，可优先进入候选裁判库。竞赛组委会办公室负责推荐裁判候选人员工作，按技术专家组提出的所需裁判人数的两倍以上，组建裁判员候选库，在竞赛监督工作组的监督下，随机抽取竞赛裁判员，并报市职业技能竞赛管理办公室备案。</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第二十一条　竞赛活动按照国家职业标准设置组织命题。竞赛活动以实际操作比赛为主，原则上应附加理论知识考试。竞赛试卷根据实际需要组织相关技术专家命题，也可从职业技能鉴定国家题库中随机抽取试题。竞赛在理论知识和实际操作命题时，应明确其各自所占比例。一般情况下，实际操作成绩应占总成绩的</w:t>
      </w:r>
      <w:r>
        <w:rPr>
          <w:rFonts w:ascii="仿宋_GB2312" w:hAnsi="仿宋" w:eastAsia="仿宋_GB2312" w:cs="仿宋"/>
          <w:sz w:val="32"/>
          <w:szCs w:val="32"/>
        </w:rPr>
        <w:t>70%</w:t>
      </w:r>
      <w:r>
        <w:rPr>
          <w:rFonts w:hint="eastAsia" w:ascii="仿宋_GB2312" w:hAnsi="仿宋" w:eastAsia="仿宋_GB2312" w:cs="仿宋"/>
          <w:sz w:val="32"/>
          <w:szCs w:val="32"/>
        </w:rPr>
        <w:t>以上。竞赛命题工作应事先制定命题组织方案，明确命题方式、任务和人员分工，提出安全保密措施和责任追究等要求。</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第二十二条　承办单位在决赛前</w:t>
      </w:r>
      <w:r>
        <w:rPr>
          <w:rFonts w:ascii="仿宋_GB2312" w:hAnsi="仿宋" w:eastAsia="仿宋_GB2312" w:cs="仿宋"/>
          <w:sz w:val="32"/>
          <w:szCs w:val="32"/>
        </w:rPr>
        <w:t>15</w:t>
      </w:r>
      <w:r>
        <w:rPr>
          <w:rFonts w:hint="eastAsia" w:ascii="仿宋_GB2312" w:hAnsi="仿宋" w:eastAsia="仿宋_GB2312" w:cs="仿宋"/>
          <w:sz w:val="32"/>
          <w:szCs w:val="32"/>
        </w:rPr>
        <w:t>天，向市职业技能竞赛管理办公室书面报告决赛的时间、地点及参加各职业工种决赛选手的人数等事项。比赛期间，市职业技能竞赛管理办公室可对比赛项目实际参赛人数、抽签、评判、成绩统计等关健环节进行督导。</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第二十三条　竞赛成绩的评定</w:t>
      </w:r>
      <w:r>
        <w:rPr>
          <w:rFonts w:ascii="仿宋_GB2312" w:hAnsi="仿宋" w:eastAsia="仿宋_GB2312" w:cs="仿宋"/>
          <w:sz w:val="32"/>
          <w:szCs w:val="32"/>
        </w:rPr>
        <w:t> </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竞赛成绩由裁判组当场评定。裁判员应严格按照评分标准，科学、客观、公正地评定成绩。参赛选手对成绩有疑义的，应当在成绩公布后</w:t>
      </w:r>
      <w:r>
        <w:rPr>
          <w:rFonts w:ascii="仿宋_GB2312" w:hAnsi="仿宋" w:eastAsia="仿宋_GB2312" w:cs="仿宋"/>
          <w:sz w:val="32"/>
          <w:szCs w:val="32"/>
        </w:rPr>
        <w:t>1</w:t>
      </w:r>
      <w:r>
        <w:rPr>
          <w:rFonts w:hint="eastAsia" w:ascii="仿宋_GB2312" w:hAnsi="仿宋" w:eastAsia="仿宋_GB2312" w:cs="仿宋"/>
          <w:sz w:val="32"/>
          <w:szCs w:val="32"/>
        </w:rPr>
        <w:t>小时内通过书面形式向竞赛组委会提出申诉，组委会应当在接到申诉后</w:t>
      </w:r>
      <w:r>
        <w:rPr>
          <w:rFonts w:ascii="仿宋_GB2312" w:hAnsi="仿宋" w:eastAsia="仿宋_GB2312" w:cs="仿宋"/>
          <w:sz w:val="32"/>
          <w:szCs w:val="32"/>
        </w:rPr>
        <w:t>2</w:t>
      </w:r>
      <w:r>
        <w:rPr>
          <w:rFonts w:hint="eastAsia" w:ascii="仿宋_GB2312" w:hAnsi="仿宋" w:eastAsia="仿宋_GB2312" w:cs="仿宋"/>
          <w:sz w:val="32"/>
          <w:szCs w:val="32"/>
        </w:rPr>
        <w:t>小时内组织复议，并及时将处理结果以书面形式反馈给申诉人。</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第二十四条　竞赛处理规定</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裁判员违反裁判责任书相关规定或营私舞弊的，竞赛组委会应予取消其裁判资格，并报市职业技能竞赛管理办公室备案，今后不得再担任竞赛裁判。</w:t>
      </w:r>
      <w:r>
        <w:rPr>
          <w:rFonts w:ascii="仿宋_GB2312" w:hAnsi="仿宋" w:eastAsia="仿宋_GB2312" w:cs="仿宋"/>
          <w:sz w:val="32"/>
          <w:szCs w:val="32"/>
        </w:rPr>
        <w:t> </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参赛选手违反竞赛纪律和竞赛规则，经查实有冒名顶替、作弊、扰乱赛场秩序等情形的，视情节轻重给予警告、停止比赛、取消成绩、禁赛</w:t>
      </w:r>
      <w:r>
        <w:rPr>
          <w:rFonts w:ascii="仿宋_GB2312" w:hAnsi="仿宋" w:eastAsia="仿宋_GB2312" w:cs="仿宋"/>
          <w:sz w:val="32"/>
          <w:szCs w:val="32"/>
        </w:rPr>
        <w:t>1</w:t>
      </w:r>
      <w:r>
        <w:rPr>
          <w:rFonts w:hint="eastAsia" w:ascii="仿宋_GB2312" w:hAnsi="仿宋" w:eastAsia="仿宋_GB2312" w:cs="仿宋"/>
          <w:sz w:val="32"/>
          <w:szCs w:val="32"/>
        </w:rPr>
        <w:t>届、禁赛</w:t>
      </w:r>
      <w:r>
        <w:rPr>
          <w:rFonts w:ascii="仿宋_GB2312" w:hAnsi="仿宋" w:eastAsia="仿宋_GB2312" w:cs="仿宋"/>
          <w:sz w:val="32"/>
          <w:szCs w:val="32"/>
        </w:rPr>
        <w:t>2</w:t>
      </w:r>
      <w:r>
        <w:rPr>
          <w:rFonts w:hint="eastAsia" w:ascii="仿宋_GB2312" w:hAnsi="仿宋" w:eastAsia="仿宋_GB2312" w:cs="仿宋"/>
          <w:sz w:val="32"/>
          <w:szCs w:val="32"/>
        </w:rPr>
        <w:t>届等处理。</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竞赛指导教师、专家、领队、裁判等相关人员，违反工作纪律，干预竞赛正常进行和结果评定，造成恶劣影响的，由组委会进行通报，并由其所在单位给予相应处分。</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竞赛有关人员有其他违纪违规行为的，按有关规定处理，情节严重构成犯罪的，移送司法机关依法追究刑事责任。</w:t>
      </w:r>
    </w:p>
    <w:p>
      <w:pPr>
        <w:spacing w:line="1000" w:lineRule="exact"/>
        <w:jc w:val="center"/>
        <w:rPr>
          <w:rFonts w:ascii="仿宋_GB2312" w:eastAsia="仿宋_GB2312"/>
          <w:b/>
          <w:sz w:val="32"/>
        </w:rPr>
      </w:pPr>
      <w:r>
        <w:rPr>
          <w:rFonts w:hint="eastAsia" w:ascii="仿宋_GB2312" w:eastAsia="仿宋_GB2312"/>
          <w:b/>
          <w:sz w:val="32"/>
        </w:rPr>
        <w:t>第五章</w:t>
      </w:r>
      <w:r>
        <w:rPr>
          <w:rFonts w:ascii="仿宋_GB2312" w:eastAsia="仿宋_GB2312"/>
          <w:b/>
          <w:sz w:val="32"/>
        </w:rPr>
        <w:t>  </w:t>
      </w:r>
      <w:r>
        <w:rPr>
          <w:rFonts w:hint="eastAsia" w:ascii="仿宋_GB2312" w:eastAsia="仿宋_GB2312"/>
          <w:b/>
          <w:sz w:val="32"/>
        </w:rPr>
        <w:t>竞赛奖项设置及奖励办法</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第二十五条　竞赛奖项设置</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竞赛成绩（含理论和操作技能）合格者方可参评各奖项。竞赛成绩</w:t>
      </w:r>
      <w:r>
        <w:rPr>
          <w:rFonts w:ascii="仿宋_GB2312" w:hAnsi="仿宋" w:eastAsia="仿宋_GB2312" w:cs="仿宋"/>
          <w:sz w:val="32"/>
          <w:szCs w:val="32"/>
        </w:rPr>
        <w:t>(</w:t>
      </w:r>
      <w:r>
        <w:rPr>
          <w:rFonts w:hint="eastAsia" w:ascii="仿宋_GB2312" w:hAnsi="仿宋" w:eastAsia="仿宋_GB2312" w:cs="仿宋"/>
          <w:sz w:val="32"/>
          <w:szCs w:val="32"/>
        </w:rPr>
        <w:t>理论或操作技能</w:t>
      </w:r>
      <w:r>
        <w:rPr>
          <w:rFonts w:ascii="仿宋_GB2312" w:hAnsi="仿宋" w:eastAsia="仿宋_GB2312" w:cs="仿宋"/>
          <w:sz w:val="32"/>
          <w:szCs w:val="32"/>
        </w:rPr>
        <w:t>)</w:t>
      </w:r>
      <w:r>
        <w:rPr>
          <w:rFonts w:hint="eastAsia" w:ascii="仿宋_GB2312" w:hAnsi="仿宋" w:eastAsia="仿宋_GB2312" w:cs="仿宋"/>
          <w:sz w:val="32"/>
          <w:szCs w:val="32"/>
        </w:rPr>
        <w:t>不合格的不予参评各奖项</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（一）市级一、二类决赛各职业工种竞赛第</w:t>
      </w:r>
      <w:r>
        <w:rPr>
          <w:rFonts w:ascii="仿宋_GB2312" w:hAnsi="仿宋" w:eastAsia="仿宋_GB2312" w:cs="仿宋"/>
          <w:sz w:val="32"/>
          <w:szCs w:val="32"/>
        </w:rPr>
        <w:t>1</w:t>
      </w:r>
      <w:r>
        <w:rPr>
          <w:rFonts w:hint="eastAsia" w:ascii="仿宋_GB2312" w:hAnsi="仿宋" w:eastAsia="仿宋_GB2312" w:cs="仿宋"/>
          <w:sz w:val="32"/>
          <w:szCs w:val="32"/>
        </w:rPr>
        <w:t>名、第</w:t>
      </w:r>
      <w:r>
        <w:rPr>
          <w:rFonts w:ascii="仿宋_GB2312" w:hAnsi="仿宋" w:eastAsia="仿宋_GB2312" w:cs="仿宋"/>
          <w:sz w:val="32"/>
          <w:szCs w:val="32"/>
        </w:rPr>
        <w:t>2</w:t>
      </w:r>
      <w:r>
        <w:rPr>
          <w:rFonts w:hint="eastAsia" w:ascii="仿宋_GB2312" w:hAnsi="仿宋" w:eastAsia="仿宋_GB2312" w:cs="仿宋"/>
          <w:sz w:val="32"/>
          <w:szCs w:val="32"/>
        </w:rPr>
        <w:t>名、第</w:t>
      </w:r>
      <w:r>
        <w:rPr>
          <w:rFonts w:ascii="仿宋_GB2312" w:hAnsi="仿宋" w:eastAsia="仿宋_GB2312" w:cs="仿宋"/>
          <w:sz w:val="32"/>
          <w:szCs w:val="32"/>
        </w:rPr>
        <w:t>3</w:t>
      </w:r>
      <w:r>
        <w:rPr>
          <w:rFonts w:hint="eastAsia" w:ascii="仿宋_GB2312" w:hAnsi="仿宋" w:eastAsia="仿宋_GB2312" w:cs="仿宋"/>
          <w:sz w:val="32"/>
          <w:szCs w:val="32"/>
        </w:rPr>
        <w:t>名分别颁发金牌、银牌和铜牌，同时可设置优胜奖，优胜奖奖项总量原则上不超过参赛选手总数的</w:t>
      </w:r>
      <w:r>
        <w:rPr>
          <w:rFonts w:ascii="仿宋_GB2312" w:hAnsi="仿宋" w:eastAsia="仿宋_GB2312" w:cs="仿宋"/>
          <w:sz w:val="32"/>
          <w:szCs w:val="32"/>
        </w:rPr>
        <w:t>20%</w:t>
      </w:r>
      <w:r>
        <w:rPr>
          <w:rFonts w:hint="eastAsia" w:ascii="仿宋_GB2312" w:hAnsi="仿宋" w:eastAsia="仿宋_GB2312" w:cs="仿宋"/>
          <w:sz w:val="32"/>
          <w:szCs w:val="32"/>
        </w:rPr>
        <w:t>，所有获奖选手颁发相应获奖证书。</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（二）市级一、二类决赛团体奖项的总量一般不超过参赛团体总数的</w:t>
      </w:r>
      <w:r>
        <w:rPr>
          <w:rFonts w:ascii="仿宋_GB2312" w:hAnsi="仿宋" w:eastAsia="仿宋_GB2312" w:cs="仿宋"/>
          <w:sz w:val="32"/>
          <w:szCs w:val="32"/>
        </w:rPr>
        <w:t>30%;</w:t>
      </w:r>
      <w:r>
        <w:rPr>
          <w:rFonts w:hint="eastAsia" w:ascii="仿宋_GB2312" w:hAnsi="仿宋" w:eastAsia="仿宋_GB2312" w:cs="仿宋"/>
          <w:sz w:val="32"/>
          <w:szCs w:val="32"/>
        </w:rPr>
        <w:t>对组织参加技能大赛团体成绩优异的单位和作出积极贡献的优秀组织单位给予表扬，并颁发证书。</w:t>
      </w:r>
    </w:p>
    <w:p>
      <w:pPr>
        <w:spacing w:line="600" w:lineRule="exact"/>
        <w:ind w:firstLine="645"/>
        <w:rPr>
          <w:rFonts w:ascii="仿宋_GB2312" w:hAnsi="仿宋" w:eastAsia="仿宋_GB2312" w:cs="仿宋"/>
          <w:sz w:val="32"/>
          <w:szCs w:val="32"/>
          <w:shd w:val="clear" w:color="auto" w:fill="FFFF00"/>
        </w:rPr>
      </w:pPr>
      <w:r>
        <w:rPr>
          <w:rFonts w:hint="eastAsia" w:ascii="仿宋_GB2312" w:hAnsi="仿宋" w:eastAsia="仿宋_GB2312" w:cs="仿宋"/>
          <w:sz w:val="32"/>
          <w:szCs w:val="32"/>
        </w:rPr>
        <w:t>（三）市级一类竞赛决赛各职业工种第</w:t>
      </w:r>
      <w:r>
        <w:rPr>
          <w:rFonts w:ascii="仿宋_GB2312" w:hAnsi="仿宋" w:eastAsia="仿宋_GB2312" w:cs="仿宋"/>
          <w:sz w:val="32"/>
          <w:szCs w:val="32"/>
        </w:rPr>
        <w:t>1</w:t>
      </w:r>
      <w:r>
        <w:rPr>
          <w:rFonts w:hint="eastAsia" w:ascii="仿宋_GB2312" w:hAnsi="仿宋" w:eastAsia="仿宋_GB2312" w:cs="仿宋"/>
          <w:sz w:val="32"/>
          <w:szCs w:val="32"/>
        </w:rPr>
        <w:t>名的选手，由市人社局授予“福州市技术能手”荣誉称号，颁发证书、奖章；市级二类竞赛决赛各职业工种及专项职业能力项目个人赛决赛第</w:t>
      </w:r>
      <w:r>
        <w:rPr>
          <w:rFonts w:ascii="仿宋_GB2312" w:hAnsi="仿宋" w:eastAsia="仿宋_GB2312" w:cs="仿宋"/>
          <w:sz w:val="32"/>
          <w:szCs w:val="32"/>
        </w:rPr>
        <w:t>1</w:t>
      </w:r>
      <w:r>
        <w:rPr>
          <w:rFonts w:hint="eastAsia" w:ascii="仿宋_GB2312" w:hAnsi="仿宋" w:eastAsia="仿宋_GB2312" w:cs="仿宋"/>
          <w:sz w:val="32"/>
          <w:szCs w:val="32"/>
        </w:rPr>
        <w:t>名的选手，可由主办单位向市人社局申报“福州市技术能手”荣誉称号，市人社局根据实际情况予以确认，并颁发证书和奖章。</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（四）职业技能等级晋级</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按本办法申报备案发布的竞赛活动，成绩考核合格（设置理论和操作技能考核的，须理论与实操成绩皆合格）的选手，可晋级并颁发相应等级职业工种的技能等级证书或专项能力证书，具体如下：</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1</w:t>
      </w:r>
      <w:r>
        <w:rPr>
          <w:rFonts w:hint="eastAsia" w:ascii="仿宋_GB2312" w:hAnsi="仿宋" w:eastAsia="仿宋_GB2312" w:cs="仿宋"/>
          <w:sz w:val="32"/>
          <w:szCs w:val="32"/>
        </w:rPr>
        <w:t>．市级一类竞赛</w:t>
      </w:r>
      <w:r>
        <w:rPr>
          <w:rFonts w:ascii="仿宋_GB2312" w:hAnsi="仿宋" w:eastAsia="仿宋_GB2312" w:cs="仿宋"/>
          <w:sz w:val="32"/>
          <w:szCs w:val="32"/>
        </w:rPr>
        <w:t> </w:t>
      </w:r>
    </w:p>
    <w:p>
      <w:pPr>
        <w:spacing w:line="600" w:lineRule="exact"/>
        <w:ind w:firstLine="640" w:firstLineChars="200"/>
        <w:rPr>
          <w:rFonts w:ascii="仿宋_GB2312" w:hAnsi="仿宋" w:eastAsia="仿宋_GB2312" w:cs="仿宋"/>
          <w:sz w:val="32"/>
          <w:szCs w:val="32"/>
          <w:highlight w:val="yellow"/>
        </w:rPr>
      </w:pPr>
      <w:r>
        <w:rPr>
          <w:rFonts w:hint="eastAsia" w:ascii="仿宋_GB2312" w:hAnsi="仿宋" w:eastAsia="仿宋_GB2312" w:cs="仿宋"/>
          <w:sz w:val="32"/>
          <w:szCs w:val="32"/>
        </w:rPr>
        <w:t>在各职业工种市级一类竞赛决赛中获得第</w:t>
      </w:r>
      <w:r>
        <w:rPr>
          <w:rFonts w:ascii="仿宋_GB2312" w:hAnsi="仿宋" w:eastAsia="仿宋_GB2312" w:cs="仿宋"/>
          <w:sz w:val="32"/>
          <w:szCs w:val="32"/>
        </w:rPr>
        <w:t>1</w:t>
      </w:r>
      <w:r>
        <w:rPr>
          <w:rFonts w:hint="eastAsia" w:ascii="仿宋_GB2312" w:hAnsi="仿宋" w:eastAsia="仿宋_GB2312" w:cs="仿宋"/>
          <w:sz w:val="32"/>
          <w:szCs w:val="32"/>
        </w:rPr>
        <w:t>名的选手，可认定为技师（本职业工种设有技师及以上等级），已有技师等级的，可晋升高级技师等级（或本职业工种的最高等级）；获得第</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10</w:t>
      </w:r>
      <w:r>
        <w:rPr>
          <w:rFonts w:hint="eastAsia" w:ascii="仿宋_GB2312" w:hAnsi="仿宋" w:eastAsia="仿宋_GB2312" w:cs="仿宋"/>
          <w:sz w:val="32"/>
          <w:szCs w:val="32"/>
        </w:rPr>
        <w:t>名的选手，可在原有技能等级的基础上晋升一级，最高至技师；其余理论和操作技能成绩均合格的选手，可认定为相应职业技能等级的高级工。同一选手在同一年度同一职业工种竞赛中只能晋升一次。</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w:t>
      </w:r>
      <w:r>
        <w:rPr>
          <w:rFonts w:hint="eastAsia" w:ascii="仿宋_GB2312" w:hAnsi="仿宋" w:eastAsia="仿宋_GB2312" w:cs="仿宋"/>
          <w:sz w:val="32"/>
          <w:szCs w:val="32"/>
        </w:rPr>
        <w:t>．市级二类竞赛</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在各职业工种市级二类竞赛决赛中获得第</w:t>
      </w:r>
      <w:r>
        <w:rPr>
          <w:rFonts w:ascii="仿宋_GB2312" w:hAnsi="仿宋" w:eastAsia="仿宋_GB2312" w:cs="仿宋"/>
          <w:sz w:val="32"/>
          <w:szCs w:val="32"/>
        </w:rPr>
        <w:t>1</w:t>
      </w:r>
      <w:r>
        <w:rPr>
          <w:rFonts w:hint="eastAsia" w:ascii="仿宋_GB2312" w:hAnsi="仿宋" w:eastAsia="仿宋_GB2312" w:cs="仿宋"/>
          <w:sz w:val="32"/>
          <w:szCs w:val="32"/>
        </w:rPr>
        <w:t>名的选手，可认定为高级工，已有高级工等级的，可晋升技师；获得第</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名的选手可在原有技能等级的基础上晋升一级，最高至高级工；其余理论和操作技能成绩均合格的选手，可认定为相应职业技能等级的中级工。同一选手在同一年度同一职业工种竞赛中只能晋升一次。</w:t>
      </w:r>
      <w:r>
        <w:rPr>
          <w:rFonts w:ascii="仿宋_GB2312" w:hAnsi="仿宋" w:eastAsia="仿宋_GB2312" w:cs="仿宋"/>
          <w:sz w:val="32"/>
          <w:szCs w:val="32"/>
        </w:rPr>
        <w:t> </w:t>
      </w:r>
    </w:p>
    <w:p>
      <w:pPr>
        <w:spacing w:line="600" w:lineRule="exact"/>
        <w:ind w:firstLine="640" w:firstLineChars="200"/>
        <w:rPr>
          <w:rFonts w:ascii="仿宋_GB2312" w:hAnsi="仿宋" w:eastAsia="仿宋_GB2312" w:cs="仿宋"/>
          <w:sz w:val="32"/>
          <w:szCs w:val="32"/>
        </w:rPr>
      </w:pPr>
      <w:r>
        <w:rPr>
          <w:rFonts w:ascii="仿宋_GB2312" w:hAnsi="仿宋" w:eastAsia="仿宋_GB2312" w:cs="仿宋"/>
          <w:iCs/>
          <w:sz w:val="32"/>
          <w:szCs w:val="32"/>
        </w:rPr>
        <w:t>3.</w:t>
      </w:r>
      <w:r>
        <w:rPr>
          <w:rFonts w:hint="eastAsia" w:ascii="仿宋_GB2312" w:hAnsi="仿宋" w:eastAsia="仿宋_GB2312" w:cs="仿宋"/>
          <w:iCs/>
          <w:sz w:val="32"/>
          <w:szCs w:val="32"/>
        </w:rPr>
        <w:t>专项职业能力项目个人赛决赛获得第</w:t>
      </w:r>
      <w:r>
        <w:rPr>
          <w:rFonts w:ascii="仿宋_GB2312" w:hAnsi="仿宋" w:eastAsia="仿宋_GB2312" w:cs="仿宋"/>
          <w:iCs/>
          <w:sz w:val="32"/>
          <w:szCs w:val="32"/>
        </w:rPr>
        <w:t>1</w:t>
      </w:r>
      <w:r>
        <w:rPr>
          <w:rFonts w:hint="eastAsia" w:ascii="仿宋_GB2312" w:hAnsi="仿宋" w:eastAsia="仿宋_GB2312" w:cs="仿宋"/>
          <w:iCs/>
          <w:sz w:val="32"/>
          <w:szCs w:val="32"/>
        </w:rPr>
        <w:t>名的选手，</w:t>
      </w:r>
      <w:r>
        <w:rPr>
          <w:rFonts w:hint="eastAsia" w:ascii="仿宋_GB2312" w:hAnsi="仿宋" w:eastAsia="仿宋_GB2312" w:cs="仿宋"/>
          <w:sz w:val="32"/>
          <w:szCs w:val="32"/>
        </w:rPr>
        <w:t>市人社部门可颁发专项职业能力优秀等次证书，第</w:t>
      </w:r>
      <w:r>
        <w:rPr>
          <w:rFonts w:ascii="仿宋_GB2312" w:hAnsi="仿宋" w:eastAsia="仿宋_GB2312" w:cs="仿宋"/>
          <w:sz w:val="32"/>
          <w:szCs w:val="32"/>
        </w:rPr>
        <w:t>2</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名选手颁发专项职业能力良好等次证书，其他成绩合格者颁发专项职业能力合格等次证书。</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（五）竞赛主办单位可会同市直相关部门，依据有关管理规定，为获奖选手申报其他奖励。</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（六）未按本办法进行申报登记的竞赛活动，市人社局不予核发职业技能等级证书或专项职业能力考核证书。</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第二十六条　按照本办法进行申报登记的竞赛活动，牵头主办单位应建立竞赛档案，记录、收集、保存好登记表、花名册、成绩单等与竞赛相关的各项原始资料，并于竞赛结束之日起</w:t>
      </w:r>
      <w:r>
        <w:rPr>
          <w:rFonts w:ascii="仿宋_GB2312" w:hAnsi="仿宋" w:eastAsia="仿宋_GB2312" w:cs="仿宋"/>
          <w:sz w:val="32"/>
          <w:szCs w:val="32"/>
        </w:rPr>
        <w:t>40</w:t>
      </w:r>
      <w:r>
        <w:rPr>
          <w:rFonts w:hint="eastAsia" w:ascii="仿宋_GB2312" w:hAnsi="仿宋" w:eastAsia="仿宋_GB2312" w:cs="仿宋"/>
          <w:sz w:val="32"/>
          <w:szCs w:val="32"/>
        </w:rPr>
        <w:t>日内向市职业技能竞赛管理办公室报送竞赛结果和有关竞赛的总结材料。</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第二十七条　竞赛奖励办法</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对按本办法立项并进行竞赛方案备案、竞赛过程规范的获奖选手，优先选派或推荐参加省级、国家级及国际竞赛。</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获奖选手及指导专家组（教练团队）奖励按照《福州市人民政府办公厅关于印发福州市职业技能竞赛奖励办法（试行）的通知》（榕政办〔2021〕</w:t>
      </w:r>
      <w:r>
        <w:rPr>
          <w:rFonts w:ascii="仿宋_GB2312" w:hAnsi="仿宋" w:eastAsia="仿宋_GB2312" w:cs="仿宋"/>
          <w:sz w:val="32"/>
          <w:szCs w:val="32"/>
        </w:rPr>
        <w:t>98</w:t>
      </w:r>
      <w:r>
        <w:rPr>
          <w:rFonts w:hint="eastAsia" w:ascii="仿宋_GB2312" w:hAnsi="仿宋" w:eastAsia="仿宋_GB2312" w:cs="仿宋"/>
          <w:sz w:val="32"/>
          <w:szCs w:val="32"/>
        </w:rPr>
        <w:t>号）文件规定执行。</w:t>
      </w:r>
    </w:p>
    <w:p>
      <w:pPr>
        <w:spacing w:line="1000" w:lineRule="exact"/>
        <w:jc w:val="center"/>
        <w:rPr>
          <w:rFonts w:ascii="仿宋_GB2312" w:eastAsia="仿宋_GB2312"/>
          <w:b/>
          <w:sz w:val="32"/>
          <w:szCs w:val="32"/>
        </w:rPr>
      </w:pPr>
      <w:r>
        <w:rPr>
          <w:rFonts w:hint="eastAsia" w:ascii="仿宋_GB2312" w:eastAsia="仿宋_GB2312"/>
          <w:b/>
          <w:sz w:val="32"/>
          <w:szCs w:val="32"/>
        </w:rPr>
        <w:t>第六章</w:t>
      </w:r>
      <w:r>
        <w:rPr>
          <w:rFonts w:ascii="仿宋_GB2312" w:eastAsia="仿宋_GB2312"/>
          <w:b/>
          <w:sz w:val="32"/>
          <w:szCs w:val="32"/>
        </w:rPr>
        <w:t> </w:t>
      </w:r>
      <w:r>
        <w:rPr>
          <w:rFonts w:hint="eastAsia" w:ascii="仿宋_GB2312" w:eastAsia="仿宋_GB2312"/>
          <w:b/>
          <w:sz w:val="32"/>
          <w:szCs w:val="32"/>
        </w:rPr>
        <w:t>资金申请与使用</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第二十八条　</w:t>
      </w:r>
      <w:r>
        <w:rPr>
          <w:rFonts w:ascii="仿宋_GB2312" w:hAnsi="仿宋" w:eastAsia="仿宋_GB2312" w:cs="仿宋"/>
          <w:sz w:val="32"/>
          <w:szCs w:val="32"/>
        </w:rPr>
        <w:t xml:space="preserve"> </w:t>
      </w:r>
      <w:r>
        <w:rPr>
          <w:rFonts w:hint="eastAsia" w:ascii="仿宋_GB2312" w:hAnsi="仿宋" w:eastAsia="仿宋_GB2312" w:cs="仿宋"/>
          <w:sz w:val="32"/>
          <w:szCs w:val="32"/>
        </w:rPr>
        <w:t>财政经费补助</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市级财政对按本办法备案立项并向社会公布的竞赛活动经费按照总额控制，逐项审核的原则，给予适当补助。根据上年度财政补助资金绩效评价结果确定补助经费预算。未按本办法进行申报登记的竞赛活动，不予财政经费补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（一）竞赛项目经费补助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竞赛结束后，按竞赛实际举办情况，市财政对市级一类赛按</w:t>
      </w:r>
      <w:r>
        <w:rPr>
          <w:rFonts w:ascii="仿宋_GB2312" w:hAnsi="仿宋" w:eastAsia="仿宋_GB2312" w:cs="仿宋"/>
          <w:sz w:val="32"/>
          <w:szCs w:val="32"/>
        </w:rPr>
        <w:t>A</w:t>
      </w:r>
      <w:r>
        <w:rPr>
          <w:rFonts w:hint="eastAsia" w:ascii="仿宋_GB2312" w:hAnsi="仿宋" w:eastAsia="仿宋_GB2312" w:cs="仿宋"/>
          <w:sz w:val="32"/>
          <w:szCs w:val="32"/>
        </w:rPr>
        <w:t>类、</w:t>
      </w:r>
      <w:r>
        <w:rPr>
          <w:rFonts w:ascii="仿宋_GB2312" w:hAnsi="仿宋" w:eastAsia="仿宋_GB2312" w:cs="仿宋"/>
          <w:sz w:val="32"/>
          <w:szCs w:val="32"/>
        </w:rPr>
        <w:t>B</w:t>
      </w:r>
      <w:r>
        <w:rPr>
          <w:rFonts w:hint="eastAsia" w:ascii="仿宋_GB2312" w:hAnsi="仿宋" w:eastAsia="仿宋_GB2312" w:cs="仿宋"/>
          <w:sz w:val="32"/>
          <w:szCs w:val="32"/>
        </w:rPr>
        <w:t>类、</w:t>
      </w:r>
      <w:r>
        <w:rPr>
          <w:rFonts w:ascii="仿宋_GB2312" w:hAnsi="仿宋" w:eastAsia="仿宋_GB2312" w:cs="仿宋"/>
          <w:sz w:val="32"/>
          <w:szCs w:val="32"/>
        </w:rPr>
        <w:t>C</w:t>
      </w:r>
      <w:r>
        <w:rPr>
          <w:rFonts w:hint="eastAsia" w:ascii="仿宋_GB2312" w:hAnsi="仿宋" w:eastAsia="仿宋_GB2312" w:cs="仿宋"/>
          <w:sz w:val="32"/>
          <w:szCs w:val="32"/>
        </w:rPr>
        <w:t>类、</w:t>
      </w:r>
      <w:r>
        <w:rPr>
          <w:rFonts w:ascii="仿宋_GB2312" w:hAnsi="仿宋" w:eastAsia="仿宋_GB2312" w:cs="仿宋"/>
          <w:sz w:val="32"/>
          <w:szCs w:val="32"/>
        </w:rPr>
        <w:t>D</w:t>
      </w:r>
      <w:r>
        <w:rPr>
          <w:rFonts w:hint="eastAsia" w:ascii="仿宋_GB2312" w:hAnsi="仿宋" w:eastAsia="仿宋_GB2312" w:cs="仿宋"/>
          <w:sz w:val="32"/>
          <w:szCs w:val="32"/>
        </w:rPr>
        <w:t>类（详见附件</w:t>
      </w:r>
      <w:r>
        <w:rPr>
          <w:rFonts w:ascii="仿宋_GB2312" w:hAnsi="仿宋" w:eastAsia="仿宋_GB2312" w:cs="仿宋"/>
          <w:sz w:val="32"/>
          <w:szCs w:val="32"/>
        </w:rPr>
        <w:t>1</w:t>
      </w:r>
      <w:r>
        <w:rPr>
          <w:rFonts w:hint="eastAsia" w:ascii="仿宋_GB2312" w:hAnsi="仿宋" w:eastAsia="仿宋_GB2312" w:cs="仿宋"/>
          <w:sz w:val="32"/>
          <w:szCs w:val="32"/>
        </w:rPr>
        <w:t>）四档类别可分别给予最高</w:t>
      </w:r>
      <w:r>
        <w:rPr>
          <w:rFonts w:ascii="仿宋_GB2312" w:hAnsi="仿宋" w:eastAsia="仿宋_GB2312" w:cs="仿宋"/>
          <w:sz w:val="32"/>
          <w:szCs w:val="32"/>
        </w:rPr>
        <w:t>10</w:t>
      </w:r>
      <w:r>
        <w:rPr>
          <w:rFonts w:hint="eastAsia" w:ascii="仿宋_GB2312" w:hAnsi="仿宋" w:eastAsia="仿宋_GB2312" w:cs="仿宋"/>
          <w:sz w:val="32"/>
          <w:szCs w:val="32"/>
        </w:rPr>
        <w:t>万、</w:t>
      </w:r>
      <w:r>
        <w:rPr>
          <w:rFonts w:ascii="仿宋_GB2312" w:hAnsi="仿宋" w:eastAsia="仿宋_GB2312" w:cs="仿宋"/>
          <w:sz w:val="32"/>
          <w:szCs w:val="32"/>
        </w:rPr>
        <w:t>8</w:t>
      </w:r>
      <w:r>
        <w:rPr>
          <w:rFonts w:hint="eastAsia" w:ascii="仿宋_GB2312" w:hAnsi="仿宋" w:eastAsia="仿宋_GB2312" w:cs="仿宋"/>
          <w:sz w:val="32"/>
          <w:szCs w:val="32"/>
        </w:rPr>
        <w:t>万、</w:t>
      </w:r>
      <w:r>
        <w:rPr>
          <w:rFonts w:ascii="仿宋_GB2312" w:hAnsi="仿宋" w:eastAsia="仿宋_GB2312" w:cs="仿宋"/>
          <w:sz w:val="32"/>
          <w:szCs w:val="32"/>
        </w:rPr>
        <w:t>5</w:t>
      </w:r>
      <w:r>
        <w:rPr>
          <w:rFonts w:hint="eastAsia" w:ascii="仿宋_GB2312" w:hAnsi="仿宋" w:eastAsia="仿宋_GB2312" w:cs="仿宋"/>
          <w:sz w:val="32"/>
          <w:szCs w:val="32"/>
        </w:rPr>
        <w:t>万、</w:t>
      </w:r>
      <w:r>
        <w:rPr>
          <w:rFonts w:ascii="仿宋_GB2312" w:hAnsi="仿宋" w:eastAsia="仿宋_GB2312" w:cs="仿宋"/>
          <w:sz w:val="32"/>
          <w:szCs w:val="32"/>
        </w:rPr>
        <w:t>3</w:t>
      </w:r>
      <w:r>
        <w:rPr>
          <w:rFonts w:hint="eastAsia" w:ascii="仿宋_GB2312" w:hAnsi="仿宋" w:eastAsia="仿宋_GB2312" w:cs="仿宋"/>
          <w:sz w:val="32"/>
          <w:szCs w:val="32"/>
        </w:rPr>
        <w:t>万元的竞赛项目经费补助；市级二类赛按市级一类赛</w:t>
      </w:r>
      <w:r>
        <w:rPr>
          <w:rFonts w:ascii="仿宋_GB2312" w:hAnsi="仿宋" w:eastAsia="仿宋_GB2312" w:cs="仿宋"/>
          <w:sz w:val="32"/>
          <w:szCs w:val="32"/>
        </w:rPr>
        <w:t>D</w:t>
      </w:r>
      <w:r>
        <w:rPr>
          <w:rFonts w:hint="eastAsia" w:ascii="仿宋_GB2312" w:hAnsi="仿宋" w:eastAsia="仿宋_GB2312" w:cs="仿宋"/>
          <w:sz w:val="32"/>
          <w:szCs w:val="32"/>
        </w:rPr>
        <w:t>类标准，最高可给予</w:t>
      </w:r>
      <w:r>
        <w:rPr>
          <w:rFonts w:ascii="仿宋_GB2312" w:hAnsi="仿宋" w:eastAsia="仿宋_GB2312" w:cs="仿宋"/>
          <w:sz w:val="32"/>
          <w:szCs w:val="32"/>
        </w:rPr>
        <w:t>3</w:t>
      </w:r>
      <w:r>
        <w:rPr>
          <w:rFonts w:hint="eastAsia" w:ascii="仿宋_GB2312" w:hAnsi="仿宋" w:eastAsia="仿宋_GB2312" w:cs="仿宋"/>
          <w:sz w:val="32"/>
          <w:szCs w:val="32"/>
        </w:rPr>
        <w:t>万元经费补助。承办国家级、省级职业技能竞赛的，原则上可按上级财政经费补助标准给予适当经费补助。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（二）集训补助</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对由我市选拔参加省级以上一类赛的选手，可由市职业技能鉴定指导中心统一组织，依托我市世赛省级集训基地进行赛前集训，市级财政可按集训项目实际支出给予集训基地所在单位最高不超过</w:t>
      </w:r>
      <w:r>
        <w:rPr>
          <w:rFonts w:ascii="仿宋_GB2312" w:hAnsi="仿宋" w:eastAsia="仿宋_GB2312" w:cs="仿宋"/>
          <w:sz w:val="32"/>
          <w:szCs w:val="32"/>
        </w:rPr>
        <w:t>2</w:t>
      </w:r>
      <w:r>
        <w:rPr>
          <w:rFonts w:hint="eastAsia" w:ascii="仿宋_GB2312" w:hAnsi="仿宋" w:eastAsia="仿宋_GB2312" w:cs="仿宋"/>
          <w:sz w:val="32"/>
          <w:szCs w:val="32"/>
        </w:rPr>
        <w:t>万元的集训补助。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（三）参赛选手补助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由我市选拔参加省级一类竞赛活动选手的差旅费，可按《福州市市直机关差旅费管理办法》规定的标准，由市财政给予补助。</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（四）以上补助申请实际开支费用低于竞赛补助标准的，按照实际支出费用给予补助；其他单位或部门已给予补助的，不再重复补助。</w:t>
      </w:r>
    </w:p>
    <w:p>
      <w:pPr>
        <w:spacing w:line="600" w:lineRule="exact"/>
        <w:ind w:firstLine="640"/>
        <w:rPr>
          <w:rFonts w:ascii="仿宋_GB2312" w:hAnsi="仿宋" w:eastAsia="仿宋_GB2312" w:cs="仿宋"/>
          <w:sz w:val="32"/>
          <w:szCs w:val="32"/>
        </w:rPr>
      </w:pPr>
      <w:r>
        <w:rPr>
          <w:rFonts w:hint="eastAsia" w:ascii="仿宋_GB2312" w:hAnsi="仿宋" w:eastAsia="仿宋_GB2312" w:cs="仿宋"/>
          <w:sz w:val="32"/>
          <w:szCs w:val="32"/>
        </w:rPr>
        <w:t>第二十九条　符合市级财政补助或奖励的单位和个人向市职业技能竞赛管理办公室申报竞赛经费补助或奖励时应当提交以下材料：</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1</w:t>
      </w:r>
      <w:r>
        <w:rPr>
          <w:rFonts w:hint="eastAsia" w:ascii="仿宋_GB2312" w:hAnsi="仿宋" w:eastAsia="仿宋_GB2312" w:cs="仿宋"/>
          <w:sz w:val="32"/>
          <w:szCs w:val="32"/>
        </w:rPr>
        <w:t>．福州市职业技能竞赛经费补助（个人奖励）申请表；</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w:t>
      </w:r>
      <w:r>
        <w:rPr>
          <w:rFonts w:ascii="仿宋_GB2312" w:hAnsi="仿宋" w:eastAsia="仿宋_GB2312" w:cs="仿宋"/>
          <w:sz w:val="32"/>
          <w:szCs w:val="32"/>
        </w:rPr>
        <w:t>2</w:t>
      </w:r>
      <w:r>
        <w:rPr>
          <w:rFonts w:hint="eastAsia" w:ascii="仿宋_GB2312" w:hAnsi="仿宋" w:eastAsia="仿宋_GB2312" w:cs="仿宋"/>
          <w:sz w:val="32"/>
          <w:szCs w:val="32"/>
        </w:rPr>
        <w:t>．举办（参加）相关竞赛活动的文件；</w:t>
      </w:r>
      <w:r>
        <w:rPr>
          <w:rFonts w:ascii="仿宋_GB2312" w:hAnsi="仿宋" w:eastAsia="仿宋_GB2312" w:cs="仿宋"/>
          <w:sz w:val="32"/>
          <w:szCs w:val="32"/>
        </w:rPr>
        <w:t> </w:t>
      </w:r>
    </w:p>
    <w:p>
      <w:pPr>
        <w:spacing w:line="600" w:lineRule="exact"/>
        <w:ind w:firstLine="64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．相关费用凭证复印件（盖章）。</w:t>
      </w:r>
      <w:r>
        <w:rPr>
          <w:rFonts w:ascii="仿宋_GB2312" w:hAnsi="仿宋" w:eastAsia="仿宋_GB2312" w:cs="仿宋"/>
          <w:sz w:val="32"/>
          <w:szCs w:val="32"/>
        </w:rPr>
        <w:t> </w:t>
      </w:r>
    </w:p>
    <w:p>
      <w:pPr>
        <w:spacing w:line="600" w:lineRule="exact"/>
        <w:ind w:firstLine="64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第三方审计机构出具的专项审计报告。</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市人社局会同市财政局每半年汇总审核补助的竞赛活动，每年</w:t>
      </w:r>
      <w:r>
        <w:rPr>
          <w:rFonts w:ascii="仿宋_GB2312" w:hAnsi="仿宋" w:eastAsia="仿宋_GB2312" w:cs="仿宋"/>
          <w:sz w:val="32"/>
          <w:szCs w:val="32"/>
        </w:rPr>
        <w:t>7</w:t>
      </w:r>
      <w:r>
        <w:rPr>
          <w:rFonts w:hint="eastAsia" w:ascii="仿宋_GB2312" w:hAnsi="仿宋" w:eastAsia="仿宋_GB2312" w:cs="仿宋"/>
          <w:sz w:val="32"/>
          <w:szCs w:val="32"/>
        </w:rPr>
        <w:t>月份审核上半年竞赛项目，第二年</w:t>
      </w:r>
      <w:r>
        <w:rPr>
          <w:rFonts w:ascii="仿宋_GB2312" w:hAnsi="仿宋" w:eastAsia="仿宋_GB2312" w:cs="仿宋"/>
          <w:sz w:val="32"/>
          <w:szCs w:val="32"/>
        </w:rPr>
        <w:t>1</w:t>
      </w:r>
      <w:r>
        <w:rPr>
          <w:rFonts w:hint="eastAsia" w:ascii="仿宋_GB2312" w:hAnsi="仿宋" w:eastAsia="仿宋_GB2312" w:cs="仿宋"/>
          <w:sz w:val="32"/>
          <w:szCs w:val="32"/>
        </w:rPr>
        <w:t>月份审核上年度下半年竞赛项目，逾期申请的不予审核拨补。</w:t>
      </w:r>
      <w:r>
        <w:rPr>
          <w:rFonts w:ascii="仿宋_GB2312" w:hAnsi="仿宋" w:eastAsia="仿宋_GB2312" w:cs="仿宋"/>
          <w:sz w:val="32"/>
          <w:szCs w:val="32"/>
        </w:rPr>
        <w:t> </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第三十条</w:t>
      </w:r>
      <w:r>
        <w:rPr>
          <w:rFonts w:ascii="仿宋_GB2312" w:hAnsi="仿宋" w:eastAsia="仿宋_GB2312" w:cs="仿宋"/>
          <w:sz w:val="32"/>
          <w:szCs w:val="32"/>
        </w:rPr>
        <w:t xml:space="preserve">  </w:t>
      </w:r>
      <w:r>
        <w:rPr>
          <w:rFonts w:hint="eastAsia" w:ascii="仿宋_GB2312" w:hAnsi="仿宋" w:eastAsia="仿宋_GB2312" w:cs="仿宋"/>
          <w:sz w:val="32"/>
          <w:szCs w:val="32"/>
        </w:rPr>
        <w:t>经费使用与管理</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一）市级竞赛项目补助经费主要用于由市人社局统一公布的市级竞赛活动，包括竞赛基础设施建设、赛务组织与实施保障等；集训基地经费补助主要用于集训基地设备、工具购置、设施设备维护、集训耗材及师资、培训基础设施改造、集训成果转化及资料翻译等有关费用。</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二）竞赛主、承办单位及集训基地要严格经费管理，加强监督工作，保障经费专款专用，并接受财政、人社、审计等部门的监督检查。严禁造假套取财政补助资金的行为，对虚报、套取竞赛补助资金等违规行为，追回财政补助资金，并按有关规定严肃处理。对严重违纪违规的，移送监察机关立案查处，对构成犯罪的，移送司法机关依法追究刑事责任。</w:t>
      </w:r>
    </w:p>
    <w:p>
      <w:pPr>
        <w:spacing w:line="600" w:lineRule="exact"/>
        <w:ind w:firstLine="645"/>
        <w:rPr>
          <w:rFonts w:ascii="仿宋_GB2312" w:hAnsi="仿宋" w:eastAsia="仿宋_GB2312" w:cs="仿宋"/>
          <w:sz w:val="32"/>
          <w:szCs w:val="32"/>
        </w:rPr>
      </w:pPr>
      <w:r>
        <w:rPr>
          <w:rFonts w:hint="eastAsia" w:ascii="仿宋_GB2312" w:hAnsi="仿宋" w:eastAsia="仿宋_GB2312" w:cs="仿宋"/>
          <w:sz w:val="32"/>
          <w:szCs w:val="32"/>
        </w:rPr>
        <w:t>第三十一条</w:t>
      </w:r>
      <w:r>
        <w:rPr>
          <w:rFonts w:ascii="仿宋_GB2312" w:hAnsi="仿宋" w:eastAsia="仿宋_GB2312" w:cs="仿宋"/>
          <w:sz w:val="32"/>
          <w:szCs w:val="32"/>
        </w:rPr>
        <w:t xml:space="preserve">  </w:t>
      </w:r>
      <w:r>
        <w:rPr>
          <w:rFonts w:hint="eastAsia" w:ascii="仿宋_GB2312" w:hAnsi="仿宋" w:eastAsia="仿宋_GB2312" w:cs="仿宋"/>
          <w:sz w:val="32"/>
          <w:szCs w:val="32"/>
        </w:rPr>
        <w:t>本办法所需奖励及竞赛项目补助等资金分别在职业技能奖励经费和职业技能竞赛经费中列支，由市职业技能竞赛管理办公室负责审核，并将资金拨付至符合条件的对象。</w:t>
      </w:r>
    </w:p>
    <w:p>
      <w:pPr>
        <w:spacing w:line="1000" w:lineRule="exact"/>
        <w:jc w:val="center"/>
        <w:rPr>
          <w:rFonts w:ascii="仿宋_GB2312" w:eastAsia="仿宋_GB2312"/>
          <w:b/>
          <w:sz w:val="32"/>
          <w:szCs w:val="32"/>
        </w:rPr>
      </w:pPr>
      <w:r>
        <w:rPr>
          <w:rFonts w:hint="eastAsia" w:ascii="仿宋_GB2312" w:eastAsia="仿宋_GB2312"/>
          <w:b/>
          <w:sz w:val="32"/>
          <w:szCs w:val="32"/>
        </w:rPr>
        <w:t>第七章</w:t>
      </w:r>
      <w:r>
        <w:rPr>
          <w:rFonts w:ascii="仿宋_GB2312" w:eastAsia="仿宋_GB2312"/>
          <w:b/>
          <w:sz w:val="32"/>
          <w:szCs w:val="32"/>
        </w:rPr>
        <w:t> </w:t>
      </w:r>
      <w:r>
        <w:rPr>
          <w:rFonts w:hint="eastAsia" w:ascii="仿宋_GB2312" w:eastAsia="仿宋_GB2312"/>
          <w:b/>
          <w:sz w:val="32"/>
          <w:szCs w:val="32"/>
        </w:rPr>
        <w:t>附则</w:t>
      </w:r>
    </w:p>
    <w:p>
      <w:pPr>
        <w:spacing w:line="600" w:lineRule="exact"/>
        <w:rPr>
          <w:rFonts w:ascii="仿宋_GB2312" w:hAnsi="仿宋" w:eastAsia="仿宋_GB2312" w:cs="仿宋"/>
          <w:sz w:val="32"/>
          <w:szCs w:val="32"/>
        </w:rPr>
      </w:pPr>
      <w:r>
        <w:rPr>
          <w:rFonts w:hint="eastAsia" w:ascii="仿宋_GB2312" w:eastAsia="仿宋_GB2312"/>
          <w:sz w:val="32"/>
          <w:szCs w:val="32"/>
        </w:rPr>
        <w:t>　</w:t>
      </w:r>
      <w:r>
        <w:rPr>
          <w:rFonts w:hint="eastAsia" w:ascii="仿宋_GB2312" w:hAnsi="仿宋" w:eastAsia="仿宋_GB2312" w:cs="仿宋"/>
          <w:sz w:val="32"/>
          <w:szCs w:val="32"/>
        </w:rPr>
        <w:t>　第三十二条</w:t>
      </w:r>
      <w:r>
        <w:rPr>
          <w:rFonts w:ascii="仿宋_GB2312" w:hAnsi="仿宋" w:eastAsia="仿宋_GB2312" w:cs="仿宋"/>
          <w:sz w:val="32"/>
          <w:szCs w:val="32"/>
        </w:rPr>
        <w:t xml:space="preserve">  </w:t>
      </w:r>
      <w:r>
        <w:rPr>
          <w:rFonts w:hint="eastAsia" w:ascii="仿宋_GB2312" w:hAnsi="仿宋" w:eastAsia="仿宋_GB2312" w:cs="仿宋"/>
          <w:sz w:val="32"/>
          <w:szCs w:val="32"/>
        </w:rPr>
        <w:t>本办法自文件下发之日起执行。</w:t>
      </w:r>
      <w:r>
        <w:rPr>
          <w:rFonts w:ascii="仿宋_GB2312" w:hAnsi="仿宋" w:eastAsia="仿宋_GB2312" w:cs="仿宋"/>
          <w:sz w:val="32"/>
          <w:szCs w:val="32"/>
        </w:rPr>
        <w:t> </w:t>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　　第三十三条</w:t>
      </w:r>
      <w:r>
        <w:rPr>
          <w:rFonts w:ascii="仿宋_GB2312" w:hAnsi="仿宋" w:eastAsia="仿宋_GB2312" w:cs="仿宋"/>
          <w:sz w:val="32"/>
          <w:szCs w:val="32"/>
        </w:rPr>
        <w:t xml:space="preserve">  </w:t>
      </w:r>
      <w:r>
        <w:rPr>
          <w:rFonts w:hint="eastAsia" w:ascii="仿宋_GB2312" w:hAnsi="仿宋" w:eastAsia="仿宋_GB2312" w:cs="仿宋"/>
          <w:sz w:val="32"/>
          <w:szCs w:val="32"/>
        </w:rPr>
        <w:t>本办法由福州市人力资源和社会保障局、福州市财政局负责解释。</w:t>
      </w:r>
    </w:p>
    <w:p>
      <w:pPr>
        <w:spacing w:line="600" w:lineRule="exact"/>
        <w:ind w:firstLine="640" w:firstLineChars="200"/>
        <w:rPr>
          <w:rFonts w:hint="eastAsia" w:ascii="仿宋_GB2312" w:hAnsi="仿宋" w:eastAsia="仿宋_GB2312" w:cs="仿宋"/>
          <w:sz w:val="32"/>
          <w:szCs w:val="32"/>
        </w:rPr>
      </w:pPr>
    </w:p>
    <w:p>
      <w:pPr>
        <w:spacing w:line="600" w:lineRule="exact"/>
        <w:ind w:firstLine="640" w:firstLineChars="200"/>
        <w:rPr>
          <w:rFonts w:ascii="仿宋_GB2312" w:hAnsi="仿宋" w:eastAsia="仿宋_GB2312" w:cs="仿宋"/>
          <w:sz w:val="32"/>
          <w:szCs w:val="32"/>
        </w:rPr>
      </w:pPr>
      <w:bookmarkStart w:id="0" w:name="_GoBack"/>
      <w:bookmarkEnd w:id="0"/>
      <w:r>
        <w:rPr>
          <w:rFonts w:hint="eastAsia" w:ascii="仿宋_GB2312" w:hAnsi="仿宋" w:eastAsia="仿宋_GB2312" w:cs="仿宋"/>
          <w:sz w:val="32"/>
          <w:szCs w:val="32"/>
        </w:rPr>
        <w:t>附件：</w:t>
      </w:r>
    </w:p>
    <w:p>
      <w:pPr>
        <w:spacing w:line="560" w:lineRule="exact"/>
        <w:ind w:firstLine="1280" w:firstLineChars="400"/>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福州市职业技能竞赛项目分类</w:t>
      </w:r>
      <w:r>
        <w:rPr>
          <w:rFonts w:ascii="仿宋_GB2312" w:hAnsi="仿宋" w:eastAsia="仿宋_GB2312" w:cs="仿宋"/>
          <w:sz w:val="32"/>
          <w:szCs w:val="32"/>
        </w:rPr>
        <w:t> </w:t>
      </w:r>
    </w:p>
    <w:p>
      <w:pPr>
        <w:spacing w:line="560" w:lineRule="exact"/>
        <w:ind w:firstLine="1280" w:firstLineChars="400"/>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福州市职业技能竞赛选手报名表</w:t>
      </w:r>
      <w:r>
        <w:rPr>
          <w:rFonts w:ascii="仿宋_GB2312" w:hAnsi="仿宋" w:eastAsia="仿宋_GB2312" w:cs="仿宋"/>
          <w:sz w:val="32"/>
          <w:szCs w:val="32"/>
        </w:rPr>
        <w:t> </w:t>
      </w:r>
    </w:p>
    <w:p>
      <w:pPr>
        <w:spacing w:line="560" w:lineRule="exact"/>
        <w:ind w:firstLine="1280" w:firstLineChars="400"/>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福州市职业技能竞赛经费补助申请表</w:t>
      </w:r>
      <w:r>
        <w:rPr>
          <w:rFonts w:ascii="仿宋_GB2312" w:hAnsi="仿宋" w:eastAsia="仿宋_GB2312" w:cs="仿宋"/>
          <w:sz w:val="32"/>
          <w:szCs w:val="32"/>
        </w:rPr>
        <w:t> </w:t>
      </w:r>
    </w:p>
    <w:p>
      <w:pPr>
        <w:spacing w:line="560" w:lineRule="exact"/>
        <w:ind w:firstLine="1280" w:firstLineChars="400"/>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福州市集训基地补助申请表</w:t>
      </w:r>
    </w:p>
    <w:p>
      <w:pPr>
        <w:spacing w:line="560" w:lineRule="exact"/>
        <w:ind w:firstLine="1280" w:firstLineChars="400"/>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福州市职业技能竞赛个人奖励申请表</w:t>
      </w:r>
    </w:p>
    <w:p>
      <w:pPr>
        <w:spacing w:line="560" w:lineRule="exact"/>
        <w:ind w:firstLine="1280" w:firstLineChars="400"/>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福州市职业技能竞赛参赛选手补助申请表</w:t>
      </w:r>
    </w:p>
    <w:p>
      <w:pPr>
        <w:rPr>
          <w:rFonts w:ascii="仿宋_GB2312" w:hAnsi="仿宋" w:eastAsia="仿宋_GB2312" w:cs="仿宋"/>
          <w:sz w:val="32"/>
          <w:szCs w:val="32"/>
        </w:rPr>
      </w:pPr>
      <w:r>
        <w:rPr>
          <w:rFonts w:ascii="仿宋_GB2312" w:hAnsi="仿宋" w:eastAsia="仿宋_GB2312" w:cs="仿宋"/>
          <w:sz w:val="32"/>
          <w:szCs w:val="32"/>
        </w:rPr>
        <w:br w:type="page"/>
      </w:r>
    </w:p>
    <w:p>
      <w:pPr>
        <w:rPr>
          <w:rFonts w:ascii="仿宋_GB2312" w:eastAsia="仿宋_GB2312"/>
          <w:bCs/>
          <w:sz w:val="32"/>
          <w:szCs w:val="32"/>
        </w:rPr>
      </w:pPr>
      <w:r>
        <w:rPr>
          <w:rFonts w:ascii="仿宋_GB2312" w:hAnsi="仿宋" w:eastAsia="仿宋_GB2312" w:cs="仿宋"/>
          <w:sz w:val="32"/>
          <w:szCs w:val="32"/>
        </w:rPr>
        <w:t> </w:t>
      </w:r>
      <w:r>
        <w:rPr>
          <w:rFonts w:hint="eastAsia" w:ascii="黑体" w:eastAsia="黑体"/>
          <w:sz w:val="32"/>
          <w:szCs w:val="32"/>
        </w:rPr>
        <w:t>附件</w:t>
      </w:r>
      <w:r>
        <w:rPr>
          <w:rFonts w:ascii="黑体" w:eastAsia="黑体"/>
          <w:sz w:val="32"/>
          <w:szCs w:val="32"/>
        </w:rPr>
        <w:t>1</w:t>
      </w:r>
    </w:p>
    <w:p>
      <w:pPr>
        <w:spacing w:beforeLines="50" w:afterLines="100" w:line="4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福州市职业技能竞赛项目分类</w:t>
      </w:r>
    </w:p>
    <w:tbl>
      <w:tblPr>
        <w:tblStyle w:val="9"/>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7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noWrap/>
            <w:vAlign w:val="center"/>
          </w:tcPr>
          <w:p>
            <w:pPr>
              <w:adjustRightInd w:val="0"/>
              <w:jc w:val="center"/>
              <w:rPr>
                <w:rFonts w:ascii="仿宋_GB2312" w:hAnsi="宋体" w:eastAsia="仿宋_GB2312"/>
                <w:b/>
                <w:sz w:val="32"/>
                <w:szCs w:val="32"/>
              </w:rPr>
            </w:pPr>
            <w:r>
              <w:rPr>
                <w:rFonts w:hint="eastAsia" w:ascii="仿宋_GB2312" w:hAnsi="宋体" w:eastAsia="仿宋_GB2312"/>
                <w:b/>
                <w:sz w:val="32"/>
                <w:szCs w:val="32"/>
              </w:rPr>
              <w:t>类别</w:t>
            </w:r>
          </w:p>
        </w:tc>
        <w:tc>
          <w:tcPr>
            <w:tcW w:w="7284" w:type="dxa"/>
            <w:noWrap/>
            <w:vAlign w:val="center"/>
          </w:tcPr>
          <w:p>
            <w:pPr>
              <w:adjustRightInd w:val="0"/>
              <w:jc w:val="center"/>
              <w:rPr>
                <w:rFonts w:ascii="仿宋_GB2312" w:hAnsi="宋体" w:eastAsia="仿宋_GB2312"/>
                <w:b/>
                <w:sz w:val="32"/>
                <w:szCs w:val="32"/>
              </w:rPr>
            </w:pPr>
            <w:r>
              <w:rPr>
                <w:rFonts w:hint="eastAsia" w:ascii="仿宋_GB2312" w:hAnsi="宋体" w:eastAsia="仿宋_GB2312"/>
                <w:b/>
                <w:sz w:val="32"/>
                <w:szCs w:val="32"/>
              </w:rPr>
              <w:t>项</w:t>
            </w:r>
            <w:r>
              <w:rPr>
                <w:rFonts w:ascii="仿宋_GB2312" w:hAnsi="宋体" w:eastAsia="仿宋_GB2312"/>
                <w:b/>
                <w:sz w:val="32"/>
                <w:szCs w:val="32"/>
              </w:rPr>
              <w:t xml:space="preserve">    </w:t>
            </w:r>
            <w:r>
              <w:rPr>
                <w:rFonts w:hint="eastAsia" w:ascii="仿宋_GB2312" w:hAnsi="宋体" w:eastAsia="仿宋_GB2312"/>
                <w:b/>
                <w:sz w:val="32"/>
                <w:szCs w:val="32"/>
              </w:rPr>
              <w:t>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restart"/>
            <w:noWrap/>
            <w:vAlign w:val="center"/>
          </w:tcPr>
          <w:p>
            <w:pPr>
              <w:adjustRightInd w:val="0"/>
              <w:jc w:val="center"/>
              <w:rPr>
                <w:rFonts w:ascii="仿宋_GB2312" w:eastAsia="仿宋_GB2312"/>
                <w:sz w:val="32"/>
                <w:szCs w:val="32"/>
              </w:rPr>
            </w:pPr>
            <w:r>
              <w:rPr>
                <w:rFonts w:ascii="仿宋_GB2312" w:eastAsia="仿宋_GB2312"/>
                <w:sz w:val="32"/>
                <w:szCs w:val="32"/>
              </w:rPr>
              <w:t>A</w:t>
            </w:r>
            <w:r>
              <w:rPr>
                <w:rFonts w:hint="eastAsia" w:ascii="仿宋_GB2312" w:eastAsia="仿宋_GB2312"/>
                <w:sz w:val="32"/>
                <w:szCs w:val="32"/>
              </w:rPr>
              <w:t>类</w:t>
            </w: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机械加工、大型设备安装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生产系统集成与调试、工业机器人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电力设备安装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公（道）路运输、水上运输大型机械设备操作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起重装卸机械操作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restart"/>
            <w:noWrap/>
            <w:vAlign w:val="center"/>
          </w:tcPr>
          <w:p>
            <w:pPr>
              <w:adjustRightInd w:val="0"/>
              <w:jc w:val="center"/>
              <w:rPr>
                <w:rFonts w:ascii="仿宋_GB2312" w:eastAsia="仿宋_GB2312"/>
                <w:sz w:val="32"/>
                <w:szCs w:val="32"/>
              </w:rPr>
            </w:pPr>
            <w:r>
              <w:rPr>
                <w:rFonts w:ascii="仿宋_GB2312" w:eastAsia="仿宋_GB2312"/>
                <w:sz w:val="32"/>
                <w:szCs w:val="32"/>
              </w:rPr>
              <w:t>B</w:t>
            </w:r>
            <w:r>
              <w:rPr>
                <w:rFonts w:hint="eastAsia" w:ascii="仿宋_GB2312" w:eastAsia="仿宋_GB2312"/>
                <w:sz w:val="32"/>
                <w:szCs w:val="32"/>
              </w:rPr>
              <w:t>类</w:t>
            </w: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机电产品、机械设备维修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输电、配电、变电设备检修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筑路、养护维修、公（道）路运输机械设备操作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建筑砌筑、装饰装潢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工艺品加工、服装鞋帽制作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林产品制作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中、西式烹饪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jc w:val="center"/>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环境监测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restart"/>
            <w:noWrap/>
            <w:vAlign w:val="center"/>
          </w:tcPr>
          <w:p>
            <w:pPr>
              <w:adjustRightInd w:val="0"/>
              <w:rPr>
                <w:rFonts w:ascii="仿宋_GB2312" w:eastAsia="仿宋_GB2312"/>
                <w:sz w:val="32"/>
                <w:szCs w:val="32"/>
              </w:rPr>
            </w:pPr>
            <w:r>
              <w:rPr>
                <w:rFonts w:ascii="仿宋_GB2312" w:eastAsia="仿宋_GB2312"/>
                <w:sz w:val="32"/>
                <w:szCs w:val="32"/>
              </w:rPr>
              <w:t>C</w:t>
            </w:r>
            <w:r>
              <w:rPr>
                <w:rFonts w:hint="eastAsia" w:ascii="仿宋_GB2312" w:eastAsia="仿宋_GB2312"/>
                <w:sz w:val="32"/>
                <w:szCs w:val="32"/>
              </w:rPr>
              <w:t>类</w:t>
            </w: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检验检测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产品设计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商业、家政服务、旅游及酒店服务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咨询、信息服务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美容美发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06" w:type="dxa"/>
            <w:vMerge w:val="continue"/>
            <w:noWrap/>
            <w:vAlign w:val="center"/>
          </w:tcPr>
          <w:p>
            <w:pPr>
              <w:adjustRightInd w:val="0"/>
              <w:rPr>
                <w:rFonts w:ascii="仿宋_GB2312" w:eastAsia="仿宋_GB2312"/>
                <w:sz w:val="32"/>
                <w:szCs w:val="32"/>
              </w:rPr>
            </w:pP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废物处理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exact"/>
          <w:jc w:val="center"/>
        </w:trPr>
        <w:tc>
          <w:tcPr>
            <w:tcW w:w="1106" w:type="dxa"/>
            <w:noWrap/>
            <w:vAlign w:val="center"/>
          </w:tcPr>
          <w:p>
            <w:pPr>
              <w:adjustRightInd w:val="0"/>
              <w:rPr>
                <w:rFonts w:ascii="仿宋_GB2312" w:eastAsia="仿宋_GB2312"/>
                <w:sz w:val="32"/>
                <w:szCs w:val="32"/>
              </w:rPr>
            </w:pPr>
            <w:r>
              <w:rPr>
                <w:rFonts w:ascii="仿宋_GB2312" w:eastAsia="仿宋_GB2312"/>
                <w:sz w:val="32"/>
                <w:szCs w:val="32"/>
              </w:rPr>
              <w:t>D</w:t>
            </w:r>
            <w:r>
              <w:rPr>
                <w:rFonts w:hint="eastAsia" w:ascii="仿宋_GB2312" w:eastAsia="仿宋_GB2312"/>
                <w:sz w:val="32"/>
                <w:szCs w:val="32"/>
              </w:rPr>
              <w:t>类</w:t>
            </w:r>
          </w:p>
        </w:tc>
        <w:tc>
          <w:tcPr>
            <w:tcW w:w="7284" w:type="dxa"/>
            <w:noWrap/>
            <w:vAlign w:val="center"/>
          </w:tcPr>
          <w:p>
            <w:pPr>
              <w:adjustRightInd w:val="0"/>
              <w:rPr>
                <w:rFonts w:ascii="仿宋_GB2312" w:eastAsia="仿宋_GB2312"/>
                <w:sz w:val="32"/>
                <w:szCs w:val="32"/>
              </w:rPr>
            </w:pPr>
            <w:r>
              <w:rPr>
                <w:rFonts w:hint="eastAsia" w:ascii="仿宋_GB2312" w:eastAsia="仿宋_GB2312"/>
                <w:sz w:val="32"/>
                <w:szCs w:val="32"/>
              </w:rPr>
              <w:t>暂未列入国家职业工种目录范围的新职业工种及上述</w:t>
            </w:r>
            <w:r>
              <w:rPr>
                <w:rFonts w:ascii="仿宋_GB2312" w:eastAsia="仿宋_GB2312"/>
                <w:sz w:val="32"/>
                <w:szCs w:val="32"/>
              </w:rPr>
              <w:t>A</w:t>
            </w:r>
            <w:r>
              <w:rPr>
                <w:rFonts w:hint="eastAsia" w:ascii="仿宋_GB2312" w:eastAsia="仿宋_GB2312"/>
                <w:sz w:val="32"/>
                <w:szCs w:val="32"/>
              </w:rPr>
              <w:t>、</w:t>
            </w:r>
            <w:r>
              <w:rPr>
                <w:rFonts w:ascii="仿宋_GB2312" w:eastAsia="仿宋_GB2312"/>
                <w:sz w:val="32"/>
                <w:szCs w:val="32"/>
              </w:rPr>
              <w:t>B</w:t>
            </w:r>
            <w:r>
              <w:rPr>
                <w:rFonts w:hint="eastAsia" w:ascii="仿宋_GB2312" w:eastAsia="仿宋_GB2312"/>
                <w:sz w:val="32"/>
                <w:szCs w:val="32"/>
              </w:rPr>
              <w:t>、</w:t>
            </w:r>
            <w:r>
              <w:rPr>
                <w:rFonts w:ascii="仿宋_GB2312" w:eastAsia="仿宋_GB2312"/>
                <w:sz w:val="32"/>
                <w:szCs w:val="32"/>
              </w:rPr>
              <w:t>C</w:t>
            </w:r>
            <w:r>
              <w:rPr>
                <w:rFonts w:hint="eastAsia" w:ascii="仿宋_GB2312" w:eastAsia="仿宋_GB2312"/>
                <w:sz w:val="32"/>
                <w:szCs w:val="32"/>
              </w:rPr>
              <w:t>类专项职业能力考核项目</w:t>
            </w:r>
          </w:p>
          <w:p>
            <w:pPr>
              <w:adjustRightInd w:val="0"/>
              <w:rPr>
                <w:rFonts w:ascii="仿宋_GB2312" w:eastAsia="仿宋_GB2312"/>
                <w:sz w:val="32"/>
                <w:szCs w:val="32"/>
              </w:rPr>
            </w:pPr>
            <w:r>
              <w:rPr>
                <w:rFonts w:hint="eastAsia" w:ascii="仿宋_GB2312" w:eastAsia="仿宋_GB2312"/>
                <w:sz w:val="32"/>
                <w:szCs w:val="32"/>
              </w:rPr>
              <w:t>专项职业能力考核项目</w:t>
            </w:r>
          </w:p>
        </w:tc>
      </w:tr>
    </w:tbl>
    <w:p>
      <w:pPr>
        <w:spacing w:line="520" w:lineRule="exact"/>
        <w:ind w:right="-359" w:rightChars="-171"/>
        <w:rPr>
          <w:rFonts w:ascii="黑体" w:eastAsia="黑体"/>
          <w:sz w:val="32"/>
          <w:szCs w:val="32"/>
        </w:rPr>
      </w:pPr>
      <w:r>
        <w:rPr>
          <w:rFonts w:ascii="黑体" w:eastAsia="黑体"/>
          <w:sz w:val="32"/>
          <w:szCs w:val="32"/>
        </w:rPr>
        <w:br w:type="page"/>
      </w:r>
      <w:r>
        <w:rPr>
          <w:rFonts w:hint="eastAsia" w:ascii="黑体" w:eastAsia="黑体"/>
          <w:sz w:val="32"/>
          <w:szCs w:val="32"/>
        </w:rPr>
        <w:t>附件</w:t>
      </w:r>
      <w:r>
        <w:rPr>
          <w:rFonts w:ascii="黑体" w:eastAsia="黑体"/>
          <w:sz w:val="32"/>
          <w:szCs w:val="32"/>
        </w:rPr>
        <w:t>2</w:t>
      </w:r>
    </w:p>
    <w:p>
      <w:pPr>
        <w:spacing w:beforeLines="50" w:afterLines="100" w:line="4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福州市职业技能竞赛选手报名表</w:t>
      </w:r>
    </w:p>
    <w:p>
      <w:pPr>
        <w:spacing w:line="400" w:lineRule="exact"/>
        <w:rPr>
          <w:rFonts w:ascii="仿宋" w:hAnsi="仿宋" w:eastAsia="仿宋"/>
          <w:sz w:val="24"/>
        </w:rPr>
      </w:pPr>
      <w:r>
        <w:rPr>
          <w:rFonts w:hint="eastAsia" w:ascii="仿宋" w:hAnsi="仿宋" w:eastAsia="仿宋"/>
          <w:sz w:val="24"/>
        </w:rPr>
        <w:t>代表队：</w:t>
      </w:r>
      <w:r>
        <w:rPr>
          <w:rFonts w:ascii="仿宋" w:hAnsi="仿宋" w:eastAsia="仿宋"/>
          <w:sz w:val="24"/>
        </w:rPr>
        <w:t xml:space="preserve">                          </w:t>
      </w:r>
      <w:r>
        <w:rPr>
          <w:rFonts w:hint="eastAsia" w:ascii="仿宋" w:hAnsi="仿宋" w:eastAsia="仿宋"/>
          <w:sz w:val="24"/>
        </w:rPr>
        <w:t>参赛项目：</w:t>
      </w:r>
    </w:p>
    <w:tbl>
      <w:tblPr>
        <w:tblStyle w:val="9"/>
        <w:tblpPr w:leftFromText="180" w:rightFromText="180" w:vertAnchor="text" w:horzAnchor="page" w:tblpX="1492" w:tblpY="141"/>
        <w:tblOverlap w:val="never"/>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966"/>
        <w:gridCol w:w="434"/>
        <w:gridCol w:w="618"/>
        <w:gridCol w:w="848"/>
        <w:gridCol w:w="397"/>
        <w:gridCol w:w="620"/>
        <w:gridCol w:w="983"/>
        <w:gridCol w:w="136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姓名</w:t>
            </w:r>
          </w:p>
        </w:tc>
        <w:tc>
          <w:tcPr>
            <w:tcW w:w="1400" w:type="dxa"/>
            <w:gridSpan w:val="2"/>
            <w:vAlign w:val="center"/>
          </w:tcPr>
          <w:p>
            <w:pPr>
              <w:spacing w:line="400" w:lineRule="exact"/>
              <w:jc w:val="center"/>
              <w:rPr>
                <w:rFonts w:ascii="仿宋" w:hAnsi="仿宋" w:eastAsia="仿宋"/>
                <w:bCs/>
                <w:sz w:val="24"/>
              </w:rPr>
            </w:pPr>
          </w:p>
        </w:tc>
        <w:tc>
          <w:tcPr>
            <w:tcW w:w="1466" w:type="dxa"/>
            <w:gridSpan w:val="2"/>
            <w:vAlign w:val="center"/>
          </w:tcPr>
          <w:p>
            <w:pPr>
              <w:spacing w:line="400" w:lineRule="exact"/>
              <w:jc w:val="center"/>
              <w:rPr>
                <w:rFonts w:ascii="仿宋" w:hAnsi="仿宋" w:eastAsia="仿宋"/>
                <w:bCs/>
                <w:sz w:val="24"/>
              </w:rPr>
            </w:pPr>
            <w:r>
              <w:rPr>
                <w:rFonts w:hint="eastAsia" w:ascii="仿宋" w:hAnsi="仿宋" w:eastAsia="仿宋"/>
                <w:bCs/>
                <w:sz w:val="24"/>
              </w:rPr>
              <w:t>性别</w:t>
            </w:r>
          </w:p>
        </w:tc>
        <w:tc>
          <w:tcPr>
            <w:tcW w:w="1017" w:type="dxa"/>
            <w:gridSpan w:val="2"/>
            <w:vAlign w:val="center"/>
          </w:tcPr>
          <w:p>
            <w:pPr>
              <w:spacing w:line="400" w:lineRule="exact"/>
              <w:jc w:val="center"/>
              <w:rPr>
                <w:rFonts w:ascii="仿宋" w:hAnsi="仿宋" w:eastAsia="仿宋"/>
                <w:bCs/>
                <w:sz w:val="24"/>
              </w:rPr>
            </w:pPr>
          </w:p>
        </w:tc>
        <w:tc>
          <w:tcPr>
            <w:tcW w:w="983" w:type="dxa"/>
            <w:vAlign w:val="center"/>
          </w:tcPr>
          <w:p>
            <w:pPr>
              <w:spacing w:line="400" w:lineRule="exact"/>
              <w:jc w:val="center"/>
              <w:rPr>
                <w:rFonts w:ascii="仿宋" w:hAnsi="仿宋" w:eastAsia="仿宋"/>
                <w:bCs/>
                <w:sz w:val="24"/>
              </w:rPr>
            </w:pPr>
            <w:r>
              <w:rPr>
                <w:rFonts w:hint="eastAsia" w:ascii="仿宋" w:hAnsi="仿宋" w:eastAsia="仿宋"/>
                <w:bCs/>
                <w:sz w:val="24"/>
              </w:rPr>
              <w:t>年龄</w:t>
            </w:r>
          </w:p>
        </w:tc>
        <w:tc>
          <w:tcPr>
            <w:tcW w:w="1367" w:type="dxa"/>
            <w:vAlign w:val="center"/>
          </w:tcPr>
          <w:p>
            <w:pPr>
              <w:spacing w:line="400" w:lineRule="exact"/>
              <w:jc w:val="center"/>
              <w:rPr>
                <w:rFonts w:ascii="仿宋" w:hAnsi="仿宋" w:eastAsia="仿宋"/>
                <w:bCs/>
                <w:sz w:val="24"/>
              </w:rPr>
            </w:pPr>
          </w:p>
        </w:tc>
        <w:tc>
          <w:tcPr>
            <w:tcW w:w="1700" w:type="dxa"/>
            <w:vMerge w:val="restart"/>
            <w:vAlign w:val="center"/>
          </w:tcPr>
          <w:p>
            <w:pPr>
              <w:spacing w:line="400" w:lineRule="exact"/>
              <w:jc w:val="center"/>
              <w:rPr>
                <w:rFonts w:ascii="仿宋" w:hAnsi="仿宋" w:eastAsia="仿宋" w:cs="宋体"/>
                <w:kern w:val="0"/>
                <w:sz w:val="24"/>
              </w:rPr>
            </w:pPr>
            <w:r>
              <w:rPr>
                <w:rFonts w:hint="eastAsia" w:ascii="仿宋" w:hAnsi="仿宋" w:eastAsia="仿宋" w:cs="宋体"/>
                <w:kern w:val="0"/>
                <w:sz w:val="24"/>
              </w:rPr>
              <w:t>照片</w:t>
            </w:r>
          </w:p>
          <w:p>
            <w:pPr>
              <w:spacing w:line="400" w:lineRule="exact"/>
              <w:jc w:val="center"/>
              <w:rPr>
                <w:rFonts w:ascii="仿宋" w:hAnsi="仿宋" w:eastAsia="仿宋" w:cs="宋体"/>
                <w:kern w:val="0"/>
                <w:sz w:val="24"/>
              </w:rPr>
            </w:pPr>
            <w:r>
              <w:rPr>
                <w:rFonts w:hint="eastAsia" w:ascii="仿宋" w:hAnsi="仿宋" w:eastAsia="仿宋" w:cs="宋体"/>
                <w:kern w:val="0"/>
                <w:sz w:val="24"/>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民族</w:t>
            </w:r>
          </w:p>
        </w:tc>
        <w:tc>
          <w:tcPr>
            <w:tcW w:w="1400" w:type="dxa"/>
            <w:gridSpan w:val="2"/>
            <w:vAlign w:val="center"/>
          </w:tcPr>
          <w:p>
            <w:pPr>
              <w:spacing w:line="400" w:lineRule="exact"/>
              <w:jc w:val="center"/>
              <w:rPr>
                <w:rFonts w:ascii="仿宋" w:hAnsi="仿宋" w:eastAsia="仿宋"/>
                <w:bCs/>
                <w:sz w:val="24"/>
              </w:rPr>
            </w:pPr>
          </w:p>
        </w:tc>
        <w:tc>
          <w:tcPr>
            <w:tcW w:w="1466" w:type="dxa"/>
            <w:gridSpan w:val="2"/>
            <w:vAlign w:val="center"/>
          </w:tcPr>
          <w:p>
            <w:pPr>
              <w:spacing w:line="400" w:lineRule="exact"/>
              <w:jc w:val="center"/>
              <w:rPr>
                <w:rFonts w:ascii="仿宋" w:hAnsi="仿宋" w:eastAsia="仿宋"/>
                <w:bCs/>
                <w:sz w:val="24"/>
              </w:rPr>
            </w:pPr>
            <w:r>
              <w:rPr>
                <w:rFonts w:hint="eastAsia" w:ascii="仿宋" w:hAnsi="仿宋" w:eastAsia="仿宋"/>
                <w:bCs/>
                <w:sz w:val="24"/>
              </w:rPr>
              <w:t>身份证号</w:t>
            </w:r>
          </w:p>
        </w:tc>
        <w:tc>
          <w:tcPr>
            <w:tcW w:w="3367" w:type="dxa"/>
            <w:gridSpan w:val="4"/>
            <w:vAlign w:val="center"/>
          </w:tcPr>
          <w:p>
            <w:pPr>
              <w:spacing w:line="400" w:lineRule="exact"/>
              <w:jc w:val="center"/>
              <w:rPr>
                <w:rFonts w:ascii="仿宋" w:hAnsi="仿宋" w:eastAsia="仿宋"/>
                <w:bCs/>
                <w:sz w:val="24"/>
              </w:rPr>
            </w:pPr>
          </w:p>
        </w:tc>
        <w:tc>
          <w:tcPr>
            <w:tcW w:w="1700" w:type="dxa"/>
            <w:vMerge w:val="continue"/>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工作单位</w:t>
            </w:r>
          </w:p>
        </w:tc>
        <w:tc>
          <w:tcPr>
            <w:tcW w:w="6233" w:type="dxa"/>
            <w:gridSpan w:val="8"/>
            <w:vAlign w:val="center"/>
          </w:tcPr>
          <w:p>
            <w:pPr>
              <w:spacing w:line="400" w:lineRule="exact"/>
              <w:jc w:val="center"/>
              <w:rPr>
                <w:rFonts w:ascii="仿宋" w:hAnsi="仿宋" w:eastAsia="仿宋"/>
                <w:bCs/>
                <w:sz w:val="24"/>
              </w:rPr>
            </w:pPr>
          </w:p>
        </w:tc>
        <w:tc>
          <w:tcPr>
            <w:tcW w:w="1700" w:type="dxa"/>
            <w:vMerge w:val="continue"/>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9"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从事本职业工种的年限</w:t>
            </w:r>
          </w:p>
        </w:tc>
        <w:tc>
          <w:tcPr>
            <w:tcW w:w="6233" w:type="dxa"/>
            <w:gridSpan w:val="8"/>
            <w:vAlign w:val="center"/>
          </w:tcPr>
          <w:p>
            <w:pPr>
              <w:spacing w:line="400" w:lineRule="exact"/>
              <w:jc w:val="center"/>
              <w:rPr>
                <w:rFonts w:ascii="仿宋" w:hAnsi="仿宋" w:eastAsia="仿宋"/>
                <w:bCs/>
                <w:sz w:val="24"/>
              </w:rPr>
            </w:pPr>
          </w:p>
        </w:tc>
        <w:tc>
          <w:tcPr>
            <w:tcW w:w="1700" w:type="dxa"/>
            <w:vMerge w:val="continue"/>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通讯地址</w:t>
            </w:r>
          </w:p>
        </w:tc>
        <w:tc>
          <w:tcPr>
            <w:tcW w:w="6233" w:type="dxa"/>
            <w:gridSpan w:val="8"/>
            <w:vAlign w:val="center"/>
          </w:tcPr>
          <w:p>
            <w:pPr>
              <w:spacing w:line="400" w:lineRule="exact"/>
              <w:jc w:val="center"/>
              <w:rPr>
                <w:rFonts w:ascii="仿宋" w:hAnsi="仿宋" w:eastAsia="仿宋"/>
                <w:bCs/>
                <w:sz w:val="24"/>
              </w:rPr>
            </w:pPr>
          </w:p>
        </w:tc>
        <w:tc>
          <w:tcPr>
            <w:tcW w:w="1700" w:type="dxa"/>
            <w:vMerge w:val="continue"/>
          </w:tcPr>
          <w:p>
            <w:pPr>
              <w:spacing w:line="400" w:lineRule="exact"/>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邮编</w:t>
            </w:r>
          </w:p>
        </w:tc>
        <w:tc>
          <w:tcPr>
            <w:tcW w:w="2018" w:type="dxa"/>
            <w:gridSpan w:val="3"/>
            <w:vAlign w:val="center"/>
          </w:tcPr>
          <w:p>
            <w:pPr>
              <w:spacing w:line="400" w:lineRule="exact"/>
              <w:jc w:val="center"/>
              <w:rPr>
                <w:rFonts w:ascii="仿宋" w:hAnsi="仿宋" w:eastAsia="仿宋"/>
                <w:sz w:val="24"/>
              </w:rPr>
            </w:pPr>
          </w:p>
        </w:tc>
        <w:tc>
          <w:tcPr>
            <w:tcW w:w="1245" w:type="dxa"/>
            <w:gridSpan w:val="2"/>
            <w:vAlign w:val="center"/>
          </w:tcPr>
          <w:p>
            <w:pPr>
              <w:spacing w:line="400" w:lineRule="exact"/>
              <w:jc w:val="center"/>
              <w:rPr>
                <w:rFonts w:ascii="仿宋" w:hAnsi="仿宋" w:eastAsia="仿宋"/>
                <w:bCs/>
                <w:sz w:val="24"/>
              </w:rPr>
            </w:pPr>
            <w:r>
              <w:rPr>
                <w:rFonts w:hint="eastAsia" w:ascii="仿宋" w:hAnsi="仿宋" w:eastAsia="仿宋"/>
                <w:bCs/>
                <w:sz w:val="24"/>
              </w:rPr>
              <w:t>学历</w:t>
            </w:r>
          </w:p>
        </w:tc>
        <w:tc>
          <w:tcPr>
            <w:tcW w:w="1603" w:type="dxa"/>
            <w:gridSpan w:val="2"/>
            <w:vAlign w:val="center"/>
          </w:tcPr>
          <w:p>
            <w:pPr>
              <w:spacing w:line="400" w:lineRule="exact"/>
              <w:jc w:val="center"/>
              <w:rPr>
                <w:rFonts w:ascii="仿宋" w:hAnsi="仿宋" w:eastAsia="仿宋"/>
                <w:bCs/>
                <w:sz w:val="24"/>
              </w:rPr>
            </w:pPr>
          </w:p>
        </w:tc>
        <w:tc>
          <w:tcPr>
            <w:tcW w:w="1367" w:type="dxa"/>
            <w:vAlign w:val="center"/>
          </w:tcPr>
          <w:p>
            <w:pPr>
              <w:spacing w:line="400" w:lineRule="exact"/>
              <w:jc w:val="center"/>
              <w:rPr>
                <w:rFonts w:ascii="仿宋" w:hAnsi="仿宋" w:eastAsia="仿宋"/>
                <w:bCs/>
                <w:sz w:val="24"/>
              </w:rPr>
            </w:pPr>
            <w:r>
              <w:rPr>
                <w:rFonts w:hint="eastAsia" w:ascii="仿宋" w:hAnsi="仿宋" w:eastAsia="仿宋"/>
                <w:bCs/>
                <w:sz w:val="24"/>
              </w:rPr>
              <w:t>联系电话</w:t>
            </w:r>
          </w:p>
        </w:tc>
        <w:tc>
          <w:tcPr>
            <w:tcW w:w="1700" w:type="dxa"/>
            <w:vAlign w:val="center"/>
          </w:tcPr>
          <w:p>
            <w:pPr>
              <w:spacing w:line="400" w:lineRule="exact"/>
              <w:jc w:val="center"/>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2566" w:type="dxa"/>
            <w:gridSpan w:val="2"/>
            <w:vAlign w:val="center"/>
          </w:tcPr>
          <w:p>
            <w:pPr>
              <w:spacing w:line="400" w:lineRule="exact"/>
              <w:jc w:val="left"/>
              <w:rPr>
                <w:rFonts w:ascii="仿宋" w:hAnsi="仿宋" w:eastAsia="仿宋"/>
                <w:bCs/>
                <w:sz w:val="24"/>
              </w:rPr>
            </w:pPr>
            <w:r>
              <w:rPr>
                <w:rFonts w:hint="eastAsia" w:ascii="仿宋" w:hAnsi="仿宋" w:eastAsia="仿宋"/>
                <w:bCs/>
                <w:sz w:val="24"/>
              </w:rPr>
              <w:t>职业技能、职称证书</w:t>
            </w:r>
          </w:p>
          <w:p>
            <w:pPr>
              <w:spacing w:line="400" w:lineRule="exact"/>
              <w:jc w:val="left"/>
              <w:rPr>
                <w:rFonts w:ascii="仿宋" w:hAnsi="仿宋" w:eastAsia="仿宋"/>
                <w:bCs/>
                <w:sz w:val="24"/>
              </w:rPr>
            </w:pPr>
            <w:r>
              <w:rPr>
                <w:rFonts w:hint="eastAsia" w:ascii="仿宋" w:hAnsi="仿宋" w:eastAsia="仿宋"/>
                <w:bCs/>
                <w:sz w:val="24"/>
              </w:rPr>
              <w:t>名称及等级情况</w:t>
            </w:r>
          </w:p>
        </w:tc>
        <w:tc>
          <w:tcPr>
            <w:tcW w:w="6967" w:type="dxa"/>
            <w:gridSpan w:val="8"/>
            <w:vAlign w:val="center"/>
          </w:tcPr>
          <w:p>
            <w:pPr>
              <w:spacing w:line="400" w:lineRule="exact"/>
              <w:jc w:val="right"/>
              <w:rPr>
                <w:rFonts w:ascii="仿宋" w:hAnsi="仿宋" w:eastAsia="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5"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工作单位</w:t>
            </w:r>
          </w:p>
          <w:p>
            <w:pPr>
              <w:spacing w:line="400" w:lineRule="exact"/>
              <w:jc w:val="center"/>
              <w:rPr>
                <w:rFonts w:ascii="仿宋" w:hAnsi="仿宋" w:eastAsia="仿宋"/>
                <w:bCs/>
                <w:sz w:val="24"/>
              </w:rPr>
            </w:pPr>
            <w:r>
              <w:rPr>
                <w:rFonts w:hint="eastAsia" w:ascii="仿宋" w:hAnsi="仿宋" w:eastAsia="仿宋"/>
                <w:bCs/>
                <w:sz w:val="24"/>
              </w:rPr>
              <w:t>意见</w:t>
            </w:r>
          </w:p>
        </w:tc>
        <w:tc>
          <w:tcPr>
            <w:tcW w:w="7933" w:type="dxa"/>
            <w:gridSpan w:val="9"/>
            <w:vAlign w:val="center"/>
          </w:tcPr>
          <w:p>
            <w:pPr>
              <w:spacing w:line="400" w:lineRule="exact"/>
              <w:jc w:val="right"/>
              <w:rPr>
                <w:rFonts w:ascii="仿宋" w:hAnsi="仿宋" w:eastAsia="仿宋"/>
                <w:bCs/>
                <w:sz w:val="24"/>
              </w:rPr>
            </w:pPr>
          </w:p>
          <w:p>
            <w:pPr>
              <w:spacing w:line="400" w:lineRule="exact"/>
              <w:jc w:val="right"/>
              <w:rPr>
                <w:rFonts w:ascii="仿宋" w:hAnsi="仿宋" w:eastAsia="仿宋"/>
                <w:bCs/>
                <w:sz w:val="24"/>
              </w:rPr>
            </w:pPr>
          </w:p>
          <w:p>
            <w:pPr>
              <w:spacing w:line="400" w:lineRule="exact"/>
              <w:jc w:val="right"/>
              <w:rPr>
                <w:rFonts w:ascii="仿宋" w:hAnsi="仿宋" w:eastAsia="仿宋"/>
                <w:bCs/>
                <w:sz w:val="24"/>
              </w:rPr>
            </w:pPr>
          </w:p>
          <w:p>
            <w:pPr>
              <w:spacing w:line="400" w:lineRule="exact"/>
              <w:jc w:val="center"/>
              <w:rPr>
                <w:rFonts w:ascii="仿宋" w:hAnsi="仿宋" w:eastAsia="仿宋"/>
                <w:bCs/>
                <w:sz w:val="24"/>
              </w:rPr>
            </w:pPr>
            <w:r>
              <w:rPr>
                <w:rFonts w:hint="eastAsia" w:ascii="仿宋" w:hAnsi="仿宋" w:eastAsia="仿宋"/>
                <w:bCs/>
                <w:sz w:val="24"/>
              </w:rPr>
              <w:t>（盖章）</w:t>
            </w:r>
          </w:p>
          <w:p>
            <w:pPr>
              <w:spacing w:line="400" w:lineRule="exact"/>
              <w:jc w:val="center"/>
              <w:rPr>
                <w:rFonts w:ascii="仿宋" w:hAnsi="仿宋" w:eastAsia="仿宋"/>
                <w:bCs/>
                <w:sz w:val="24"/>
              </w:rPr>
            </w:pPr>
            <w:r>
              <w:rPr>
                <w:rFonts w:hint="eastAsia" w:ascii="仿宋" w:hAnsi="仿宋" w:eastAsia="仿宋"/>
                <w:bCs/>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trPr>
        <w:tc>
          <w:tcPr>
            <w:tcW w:w="1600" w:type="dxa"/>
            <w:vAlign w:val="center"/>
          </w:tcPr>
          <w:p>
            <w:pPr>
              <w:spacing w:line="400" w:lineRule="exact"/>
              <w:jc w:val="center"/>
              <w:rPr>
                <w:rFonts w:ascii="仿宋" w:hAnsi="仿宋" w:eastAsia="仿宋"/>
                <w:bCs/>
                <w:sz w:val="24"/>
              </w:rPr>
            </w:pPr>
            <w:r>
              <w:rPr>
                <w:rFonts w:hint="eastAsia" w:ascii="仿宋" w:hAnsi="仿宋" w:eastAsia="仿宋"/>
                <w:bCs/>
                <w:sz w:val="24"/>
              </w:rPr>
              <w:t>竞赛组委会审核意见</w:t>
            </w:r>
          </w:p>
        </w:tc>
        <w:tc>
          <w:tcPr>
            <w:tcW w:w="7933" w:type="dxa"/>
            <w:gridSpan w:val="9"/>
          </w:tcPr>
          <w:p>
            <w:pPr>
              <w:spacing w:line="400" w:lineRule="exact"/>
              <w:jc w:val="center"/>
              <w:rPr>
                <w:rFonts w:ascii="仿宋" w:hAnsi="仿宋" w:eastAsia="仿宋"/>
                <w:bCs/>
                <w:sz w:val="24"/>
              </w:rPr>
            </w:pPr>
          </w:p>
          <w:p>
            <w:pPr>
              <w:spacing w:line="400" w:lineRule="exact"/>
              <w:jc w:val="center"/>
              <w:rPr>
                <w:rFonts w:ascii="仿宋" w:hAnsi="仿宋" w:eastAsia="仿宋"/>
                <w:bCs/>
                <w:sz w:val="24"/>
              </w:rPr>
            </w:pPr>
          </w:p>
          <w:p>
            <w:pPr>
              <w:spacing w:line="400" w:lineRule="exact"/>
              <w:jc w:val="center"/>
              <w:rPr>
                <w:rFonts w:ascii="仿宋" w:hAnsi="仿宋" w:eastAsia="仿宋"/>
                <w:bCs/>
                <w:sz w:val="24"/>
              </w:rPr>
            </w:pPr>
          </w:p>
          <w:p>
            <w:pPr>
              <w:spacing w:line="400" w:lineRule="exact"/>
              <w:jc w:val="center"/>
              <w:rPr>
                <w:rFonts w:ascii="仿宋" w:hAnsi="仿宋" w:eastAsia="仿宋"/>
                <w:bCs/>
                <w:sz w:val="24"/>
              </w:rPr>
            </w:pPr>
          </w:p>
          <w:p>
            <w:pPr>
              <w:spacing w:line="400" w:lineRule="exact"/>
              <w:ind w:firstLine="4920" w:firstLineChars="2050"/>
              <w:jc w:val="center"/>
              <w:rPr>
                <w:rFonts w:ascii="仿宋" w:hAnsi="仿宋" w:eastAsia="仿宋"/>
                <w:bCs/>
                <w:sz w:val="24"/>
              </w:rPr>
            </w:pPr>
            <w:r>
              <w:rPr>
                <w:rFonts w:hint="eastAsia" w:ascii="仿宋" w:hAnsi="仿宋" w:eastAsia="仿宋"/>
                <w:bCs/>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600" w:type="dxa"/>
            <w:vAlign w:val="center"/>
          </w:tcPr>
          <w:p>
            <w:pPr>
              <w:spacing w:line="400" w:lineRule="exact"/>
              <w:jc w:val="center"/>
              <w:rPr>
                <w:rFonts w:ascii="仿宋" w:hAnsi="仿宋" w:eastAsia="仿宋"/>
                <w:sz w:val="24"/>
              </w:rPr>
            </w:pPr>
            <w:r>
              <w:rPr>
                <w:rFonts w:hint="eastAsia" w:ascii="仿宋" w:hAnsi="仿宋" w:eastAsia="仿宋"/>
                <w:sz w:val="24"/>
              </w:rPr>
              <w:t>备注</w:t>
            </w:r>
          </w:p>
        </w:tc>
        <w:tc>
          <w:tcPr>
            <w:tcW w:w="7933" w:type="dxa"/>
            <w:gridSpan w:val="9"/>
          </w:tcPr>
          <w:p>
            <w:pPr>
              <w:spacing w:line="400" w:lineRule="exact"/>
              <w:jc w:val="center"/>
              <w:rPr>
                <w:rFonts w:ascii="仿宋" w:hAnsi="仿宋" w:eastAsia="仿宋"/>
                <w:sz w:val="24"/>
              </w:rPr>
            </w:pPr>
          </w:p>
        </w:tc>
      </w:tr>
    </w:tbl>
    <w:p>
      <w:pPr>
        <w:spacing w:line="560" w:lineRule="exact"/>
        <w:ind w:firstLine="640" w:firstLineChars="200"/>
        <w:rPr>
          <w:rFonts w:ascii="黑体" w:hAnsi="仿宋" w:eastAsia="黑体"/>
          <w:sz w:val="32"/>
          <w:szCs w:val="32"/>
        </w:rPr>
      </w:pPr>
      <w:r>
        <w:rPr>
          <w:rFonts w:hint="eastAsia" w:ascii="黑体" w:hAnsi="仿宋" w:eastAsia="黑体"/>
          <w:sz w:val="32"/>
          <w:szCs w:val="32"/>
        </w:rPr>
        <w:br w:type="page"/>
      </w:r>
    </w:p>
    <w:p>
      <w:pPr>
        <w:spacing w:line="560" w:lineRule="exact"/>
        <w:rPr>
          <w:rFonts w:ascii="黑体" w:hAnsi="仿宋" w:eastAsia="黑体"/>
          <w:sz w:val="32"/>
          <w:szCs w:val="32"/>
        </w:rPr>
      </w:pPr>
      <w:r>
        <w:rPr>
          <w:rFonts w:hint="eastAsia" w:ascii="黑体" w:hAnsi="仿宋" w:eastAsia="黑体"/>
          <w:sz w:val="32"/>
          <w:szCs w:val="32"/>
        </w:rPr>
        <w:t>附件3</w:t>
      </w:r>
    </w:p>
    <w:p>
      <w:pPr>
        <w:spacing w:line="560" w:lineRule="exact"/>
        <w:ind w:firstLine="880" w:firstLineChars="200"/>
        <w:rPr>
          <w:rFonts w:ascii="方正小标宋简体" w:hAnsi="仿宋" w:eastAsia="方正小标宋简体"/>
          <w:sz w:val="44"/>
          <w:szCs w:val="44"/>
        </w:rPr>
      </w:pPr>
      <w:r>
        <w:rPr>
          <w:rFonts w:hint="eastAsia" w:ascii="方正小标宋简体" w:hAnsi="仿宋" w:eastAsia="方正小标宋简体"/>
          <w:sz w:val="44"/>
          <w:szCs w:val="44"/>
        </w:rPr>
        <w:t>福州市职业技能竞赛经费补助申请表</w:t>
      </w:r>
    </w:p>
    <w:p>
      <w:pPr>
        <w:spacing w:line="400" w:lineRule="exact"/>
        <w:rPr>
          <w:rFonts w:ascii="方正小标宋简体" w:hAnsi="仿宋" w:eastAsia="方正小标宋简体"/>
          <w:sz w:val="28"/>
          <w:szCs w:val="28"/>
        </w:rPr>
      </w:pPr>
    </w:p>
    <w:p>
      <w:pPr>
        <w:spacing w:line="400" w:lineRule="exact"/>
        <w:rPr>
          <w:rFonts w:ascii="方正小标宋简体" w:hAnsi="仿宋" w:eastAsia="方正小标宋简体"/>
          <w:sz w:val="28"/>
          <w:szCs w:val="28"/>
        </w:rPr>
      </w:pPr>
      <w:r>
        <w:rPr>
          <w:rFonts w:hint="eastAsia" w:ascii="方正小标宋简体" w:hAnsi="仿宋" w:eastAsia="方正小标宋简体"/>
          <w:sz w:val="28"/>
          <w:szCs w:val="28"/>
        </w:rPr>
        <w:t>申请单位：</w:t>
      </w:r>
      <w:r>
        <w:rPr>
          <w:rFonts w:ascii="方正小标宋简体" w:hAnsi="仿宋" w:eastAsia="方正小标宋简体"/>
          <w:sz w:val="28"/>
          <w:szCs w:val="28"/>
        </w:rPr>
        <w:t xml:space="preserve">                                  </w:t>
      </w:r>
      <w:r>
        <w:rPr>
          <w:rFonts w:hint="eastAsia" w:ascii="方正小标宋简体" w:hAnsi="仿宋" w:eastAsia="方正小标宋简体"/>
          <w:sz w:val="28"/>
          <w:szCs w:val="28"/>
        </w:rPr>
        <w:t>年</w:t>
      </w:r>
      <w:r>
        <w:rPr>
          <w:rFonts w:ascii="方正小标宋简体" w:hAnsi="仿宋" w:eastAsia="方正小标宋简体"/>
          <w:sz w:val="28"/>
          <w:szCs w:val="28"/>
        </w:rPr>
        <w:t xml:space="preserve">   </w:t>
      </w:r>
      <w:r>
        <w:rPr>
          <w:rFonts w:hint="eastAsia" w:ascii="方正小标宋简体" w:hAnsi="仿宋" w:eastAsia="方正小标宋简体"/>
          <w:sz w:val="28"/>
          <w:szCs w:val="28"/>
        </w:rPr>
        <w:t>月</w:t>
      </w:r>
      <w:r>
        <w:rPr>
          <w:rFonts w:ascii="方正小标宋简体" w:hAnsi="仿宋" w:eastAsia="方正小标宋简体"/>
          <w:sz w:val="28"/>
          <w:szCs w:val="28"/>
        </w:rPr>
        <w:t xml:space="preserve">   </w:t>
      </w:r>
      <w:r>
        <w:rPr>
          <w:rFonts w:hint="eastAsia" w:ascii="方正小标宋简体" w:hAnsi="仿宋" w:eastAsia="方正小标宋简体"/>
          <w:sz w:val="28"/>
          <w:szCs w:val="28"/>
        </w:rPr>
        <w:t>日</w:t>
      </w:r>
    </w:p>
    <w:tbl>
      <w:tblPr>
        <w:tblStyle w:val="9"/>
        <w:tblpPr w:leftFromText="180" w:rightFromText="180" w:vertAnchor="page" w:horzAnchor="page" w:tblpX="1482" w:tblpY="3386"/>
        <w:tblW w:w="9000" w:type="dxa"/>
        <w:tblInd w:w="0" w:type="dxa"/>
        <w:tblLayout w:type="fixed"/>
        <w:tblCellMar>
          <w:top w:w="0" w:type="dxa"/>
          <w:left w:w="108" w:type="dxa"/>
          <w:bottom w:w="0" w:type="dxa"/>
          <w:right w:w="108" w:type="dxa"/>
        </w:tblCellMar>
      </w:tblPr>
      <w:tblGrid>
        <w:gridCol w:w="1908"/>
        <w:gridCol w:w="2592"/>
        <w:gridCol w:w="2000"/>
        <w:gridCol w:w="2500"/>
      </w:tblGrid>
      <w:tr>
        <w:tblPrEx>
          <w:tblCellMar>
            <w:top w:w="0" w:type="dxa"/>
            <w:left w:w="108" w:type="dxa"/>
            <w:bottom w:w="0" w:type="dxa"/>
            <w:right w:w="108" w:type="dxa"/>
          </w:tblCellMar>
        </w:tblPrEx>
        <w:trPr>
          <w:trHeight w:val="603" w:hRule="atLeast"/>
        </w:trPr>
        <w:tc>
          <w:tcPr>
            <w:tcW w:w="1908" w:type="dxa"/>
            <w:tcBorders>
              <w:top w:val="single" w:color="000000" w:sz="8" w:space="0"/>
              <w:left w:val="single" w:color="000000" w:sz="8" w:space="0"/>
              <w:bottom w:val="single" w:color="000000" w:sz="8" w:space="0"/>
              <w:right w:val="single" w:color="auto" w:sz="4" w:space="0"/>
            </w:tcBorders>
            <w:vAlign w:val="center"/>
          </w:tcPr>
          <w:p>
            <w:pPr>
              <w:autoSpaceDE w:val="0"/>
              <w:autoSpaceDN w:val="0"/>
              <w:adjustRightInd w:val="0"/>
              <w:spacing w:line="520" w:lineRule="exact"/>
              <w:jc w:val="center"/>
              <w:rPr>
                <w:rFonts w:ascii="宋体" w:cs="仿宋_GB2312"/>
                <w:b/>
                <w:bCs/>
                <w:kern w:val="0"/>
                <w:sz w:val="30"/>
                <w:szCs w:val="30"/>
              </w:rPr>
            </w:pPr>
            <w:r>
              <w:rPr>
                <w:rFonts w:hint="eastAsia" w:ascii="宋体" w:hAnsi="宋体" w:cs="仿宋_GB2312"/>
                <w:b/>
                <w:bCs/>
                <w:kern w:val="0"/>
                <w:sz w:val="30"/>
                <w:szCs w:val="30"/>
              </w:rPr>
              <w:t>类别</w:t>
            </w:r>
          </w:p>
        </w:tc>
        <w:tc>
          <w:tcPr>
            <w:tcW w:w="7092" w:type="dxa"/>
            <w:gridSpan w:val="3"/>
            <w:tcBorders>
              <w:top w:val="single" w:color="000000" w:sz="8" w:space="0"/>
              <w:left w:val="single" w:color="auto" w:sz="4" w:space="0"/>
              <w:bottom w:val="single" w:color="000000" w:sz="8" w:space="0"/>
              <w:right w:val="single" w:color="auto" w:sz="4" w:space="0"/>
            </w:tcBorders>
            <w:vAlign w:val="center"/>
          </w:tcPr>
          <w:p>
            <w:pPr>
              <w:autoSpaceDE w:val="0"/>
              <w:autoSpaceDN w:val="0"/>
              <w:adjustRightInd w:val="0"/>
              <w:spacing w:line="520" w:lineRule="exact"/>
              <w:jc w:val="center"/>
              <w:rPr>
                <w:rFonts w:ascii="宋体" w:cs="仿宋_GB2312"/>
                <w:b/>
                <w:bCs/>
                <w:kern w:val="0"/>
                <w:sz w:val="30"/>
                <w:szCs w:val="30"/>
              </w:rPr>
            </w:pPr>
            <w:r>
              <w:rPr>
                <w:rFonts w:hint="eastAsia" w:ascii="宋体" w:hAnsi="宋体" w:cs="仿宋_GB2312"/>
                <w:b/>
                <w:bCs/>
                <w:kern w:val="0"/>
                <w:sz w:val="30"/>
                <w:szCs w:val="30"/>
              </w:rPr>
              <w:t>市级一类赛（</w:t>
            </w:r>
            <w:r>
              <w:rPr>
                <w:rFonts w:ascii="宋体" w:hAnsi="宋体" w:cs="仿宋_GB2312"/>
                <w:b/>
                <w:bCs/>
                <w:kern w:val="0"/>
                <w:sz w:val="30"/>
                <w:szCs w:val="30"/>
              </w:rPr>
              <w:t xml:space="preserve"> </w:t>
            </w:r>
            <w:r>
              <w:rPr>
                <w:rFonts w:hint="eastAsia" w:ascii="宋体" w:hAnsi="宋体" w:cs="仿宋_GB2312"/>
                <w:b/>
                <w:bCs/>
                <w:kern w:val="0"/>
                <w:sz w:val="30"/>
                <w:szCs w:val="30"/>
              </w:rPr>
              <w:t>）市级二类赛（</w:t>
            </w:r>
            <w:r>
              <w:rPr>
                <w:rFonts w:ascii="宋体" w:hAnsi="宋体" w:cs="仿宋_GB2312"/>
                <w:b/>
                <w:bCs/>
                <w:kern w:val="0"/>
                <w:sz w:val="30"/>
                <w:szCs w:val="30"/>
              </w:rPr>
              <w:t xml:space="preserve"> </w:t>
            </w:r>
            <w:r>
              <w:rPr>
                <w:rFonts w:hint="eastAsia" w:ascii="宋体" w:hAnsi="宋体" w:cs="仿宋_GB2312"/>
                <w:b/>
                <w:bCs/>
                <w:kern w:val="0"/>
                <w:sz w:val="30"/>
                <w:szCs w:val="30"/>
              </w:rPr>
              <w:t>）其他（</w:t>
            </w:r>
            <w:r>
              <w:rPr>
                <w:rFonts w:ascii="宋体" w:hAnsi="宋体" w:cs="仿宋_GB2312"/>
                <w:b/>
                <w:bCs/>
                <w:kern w:val="0"/>
                <w:sz w:val="30"/>
                <w:szCs w:val="30"/>
              </w:rPr>
              <w:t xml:space="preserve"> </w:t>
            </w:r>
            <w:r>
              <w:rPr>
                <w:rFonts w:hint="eastAsia" w:ascii="宋体" w:hAnsi="宋体" w:cs="仿宋_GB2312"/>
                <w:b/>
                <w:bCs/>
                <w:kern w:val="0"/>
                <w:sz w:val="30"/>
                <w:szCs w:val="30"/>
              </w:rPr>
              <w:t>）</w:t>
            </w:r>
          </w:p>
        </w:tc>
      </w:tr>
      <w:tr>
        <w:tblPrEx>
          <w:tblCellMar>
            <w:top w:w="0" w:type="dxa"/>
            <w:left w:w="108" w:type="dxa"/>
            <w:bottom w:w="0" w:type="dxa"/>
            <w:right w:w="108" w:type="dxa"/>
          </w:tblCellMar>
        </w:tblPrEx>
        <w:trPr>
          <w:trHeight w:val="609" w:hRule="atLeast"/>
        </w:trPr>
        <w:tc>
          <w:tcPr>
            <w:tcW w:w="1908"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承办单位名称</w:t>
            </w:r>
          </w:p>
        </w:tc>
        <w:tc>
          <w:tcPr>
            <w:tcW w:w="7092" w:type="dxa"/>
            <w:gridSpan w:val="3"/>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tc>
      </w:tr>
      <w:tr>
        <w:tblPrEx>
          <w:tblCellMar>
            <w:top w:w="0" w:type="dxa"/>
            <w:left w:w="108" w:type="dxa"/>
            <w:bottom w:w="0" w:type="dxa"/>
            <w:right w:w="108" w:type="dxa"/>
          </w:tblCellMar>
        </w:tblPrEx>
        <w:trPr>
          <w:trHeight w:val="910" w:hRule="atLeast"/>
        </w:trPr>
        <w:tc>
          <w:tcPr>
            <w:tcW w:w="1908"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承办单位联系人、联系电话</w:t>
            </w:r>
          </w:p>
        </w:tc>
        <w:tc>
          <w:tcPr>
            <w:tcW w:w="2592"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tc>
        <w:tc>
          <w:tcPr>
            <w:tcW w:w="2000"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承办单位法定代表人、联系电话</w:t>
            </w:r>
          </w:p>
        </w:tc>
        <w:tc>
          <w:tcPr>
            <w:tcW w:w="2500"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tc>
      </w:tr>
      <w:tr>
        <w:tblPrEx>
          <w:tblCellMar>
            <w:top w:w="0" w:type="dxa"/>
            <w:left w:w="108" w:type="dxa"/>
            <w:bottom w:w="0" w:type="dxa"/>
            <w:right w:w="108" w:type="dxa"/>
          </w:tblCellMar>
        </w:tblPrEx>
        <w:trPr>
          <w:trHeight w:val="90" w:hRule="atLeast"/>
        </w:trPr>
        <w:tc>
          <w:tcPr>
            <w:tcW w:w="1908" w:type="dxa"/>
            <w:tcBorders>
              <w:top w:val="single" w:color="000000" w:sz="8" w:space="0"/>
              <w:left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竞赛职业工种</w:t>
            </w:r>
          </w:p>
          <w:p>
            <w:pPr>
              <w:spacing w:line="400" w:lineRule="exact"/>
              <w:jc w:val="center"/>
              <w:rPr>
                <w:rFonts w:ascii="仿宋" w:hAnsi="仿宋" w:eastAsia="仿宋"/>
                <w:bCs/>
                <w:sz w:val="28"/>
                <w:szCs w:val="28"/>
              </w:rPr>
            </w:pPr>
          </w:p>
        </w:tc>
        <w:tc>
          <w:tcPr>
            <w:tcW w:w="7092" w:type="dxa"/>
            <w:gridSpan w:val="3"/>
            <w:tcBorders>
              <w:top w:val="single" w:color="000000" w:sz="8" w:space="0"/>
              <w:left w:val="single" w:color="auto" w:sz="4" w:space="0"/>
              <w:right w:val="single" w:color="auto" w:sz="4" w:space="0"/>
            </w:tcBorders>
            <w:vAlign w:val="center"/>
          </w:tcPr>
          <w:p>
            <w:pPr>
              <w:spacing w:line="400" w:lineRule="exact"/>
              <w:rPr>
                <w:rFonts w:ascii="仿宋" w:hAnsi="仿宋" w:eastAsia="仿宋"/>
                <w:bCs/>
                <w:sz w:val="28"/>
                <w:szCs w:val="28"/>
              </w:rPr>
            </w:pPr>
            <w:r>
              <w:rPr>
                <w:rFonts w:hint="eastAsia" w:ascii="仿宋" w:hAnsi="仿宋" w:eastAsia="仿宋"/>
                <w:bCs/>
                <w:sz w:val="28"/>
                <w:szCs w:val="28"/>
              </w:rPr>
              <w:t>职业工种名称：</w:t>
            </w:r>
          </w:p>
          <w:p>
            <w:pPr>
              <w:spacing w:line="400" w:lineRule="exact"/>
              <w:rPr>
                <w:rFonts w:ascii="仿宋" w:hAnsi="仿宋" w:eastAsia="仿宋"/>
                <w:bCs/>
                <w:sz w:val="28"/>
                <w:szCs w:val="28"/>
              </w:rPr>
            </w:pPr>
            <w:r>
              <w:rPr>
                <w:rFonts w:hint="eastAsia" w:ascii="仿宋" w:hAnsi="仿宋" w:eastAsia="仿宋"/>
                <w:bCs/>
                <w:sz w:val="28"/>
                <w:szCs w:val="28"/>
              </w:rPr>
              <w:t>经费补助类型：（</w:t>
            </w:r>
            <w:r>
              <w:rPr>
                <w:rFonts w:ascii="仿宋" w:hAnsi="仿宋" w:eastAsia="仿宋"/>
                <w:bCs/>
                <w:sz w:val="28"/>
                <w:szCs w:val="28"/>
              </w:rPr>
              <w:t xml:space="preserve"> A</w:t>
            </w:r>
            <w:r>
              <w:rPr>
                <w:rFonts w:hint="eastAsia" w:ascii="仿宋" w:hAnsi="Wingdings 2" w:eastAsia="仿宋"/>
                <w:bCs/>
                <w:sz w:val="28"/>
                <w:szCs w:val="28"/>
              </w:rPr>
              <w:sym w:font="Wingdings 2" w:char="F0A3"/>
            </w:r>
            <w:r>
              <w:rPr>
                <w:rFonts w:ascii="仿宋" w:hAnsi="仿宋" w:eastAsia="仿宋"/>
                <w:bCs/>
                <w:sz w:val="28"/>
                <w:szCs w:val="28"/>
              </w:rPr>
              <w:t xml:space="preserve">   B</w:t>
            </w:r>
            <w:r>
              <w:rPr>
                <w:rFonts w:hint="eastAsia" w:ascii="仿宋" w:hAnsi="Wingdings 2" w:eastAsia="仿宋"/>
                <w:bCs/>
                <w:sz w:val="28"/>
                <w:szCs w:val="28"/>
              </w:rPr>
              <w:sym w:font="Wingdings 2" w:char="F0A3"/>
            </w:r>
            <w:r>
              <w:rPr>
                <w:rFonts w:ascii="仿宋" w:hAnsi="仿宋" w:eastAsia="仿宋"/>
                <w:bCs/>
                <w:sz w:val="28"/>
                <w:szCs w:val="28"/>
              </w:rPr>
              <w:t xml:space="preserve">   C</w:t>
            </w:r>
            <w:r>
              <w:rPr>
                <w:rFonts w:hint="eastAsia" w:ascii="仿宋" w:hAnsi="Wingdings 2" w:eastAsia="仿宋"/>
                <w:bCs/>
                <w:sz w:val="28"/>
                <w:szCs w:val="28"/>
              </w:rPr>
              <w:sym w:font="Wingdings 2" w:char="F0A3"/>
            </w:r>
            <w:r>
              <w:rPr>
                <w:rFonts w:ascii="仿宋" w:hAnsi="仿宋" w:eastAsia="仿宋"/>
                <w:bCs/>
                <w:sz w:val="28"/>
                <w:szCs w:val="28"/>
              </w:rPr>
              <w:t xml:space="preserve">   D</w:t>
            </w:r>
            <w:r>
              <w:rPr>
                <w:rFonts w:hint="eastAsia" w:ascii="仿宋" w:hAnsi="Wingdings 2" w:eastAsia="仿宋"/>
                <w:bCs/>
                <w:sz w:val="28"/>
                <w:szCs w:val="28"/>
              </w:rPr>
              <w:sym w:font="Wingdings 2" w:char="F0A3"/>
            </w:r>
            <w:r>
              <w:rPr>
                <w:rFonts w:hint="eastAsia" w:ascii="仿宋" w:hAnsi="仿宋" w:eastAsia="仿宋"/>
                <w:bCs/>
                <w:sz w:val="28"/>
                <w:szCs w:val="28"/>
              </w:rPr>
              <w:t>）</w:t>
            </w:r>
          </w:p>
          <w:p>
            <w:pPr>
              <w:spacing w:line="400" w:lineRule="exact"/>
              <w:rPr>
                <w:rFonts w:ascii="仿宋" w:hAnsi="仿宋" w:eastAsia="仿宋"/>
                <w:bCs/>
                <w:sz w:val="28"/>
                <w:szCs w:val="28"/>
              </w:rPr>
            </w:pPr>
            <w:r>
              <w:rPr>
                <w:rFonts w:hint="eastAsia" w:ascii="仿宋" w:hAnsi="仿宋" w:eastAsia="仿宋"/>
                <w:bCs/>
                <w:sz w:val="28"/>
                <w:szCs w:val="28"/>
              </w:rPr>
              <w:t>决赛日期：</w:t>
            </w:r>
          </w:p>
          <w:p>
            <w:pPr>
              <w:spacing w:line="400" w:lineRule="exact"/>
              <w:rPr>
                <w:rFonts w:ascii="仿宋" w:hAnsi="仿宋" w:eastAsia="仿宋"/>
                <w:bCs/>
                <w:sz w:val="28"/>
                <w:szCs w:val="28"/>
              </w:rPr>
            </w:pPr>
            <w:r>
              <w:rPr>
                <w:rFonts w:hint="eastAsia" w:ascii="仿宋" w:hAnsi="仿宋" w:eastAsia="仿宋"/>
                <w:bCs/>
                <w:sz w:val="28"/>
                <w:szCs w:val="28"/>
              </w:rPr>
              <w:t>决赛地点：</w:t>
            </w:r>
          </w:p>
          <w:p>
            <w:pPr>
              <w:spacing w:line="400" w:lineRule="exact"/>
              <w:rPr>
                <w:rFonts w:ascii="仿宋" w:hAnsi="仿宋" w:eastAsia="仿宋"/>
                <w:bCs/>
                <w:sz w:val="28"/>
                <w:szCs w:val="28"/>
              </w:rPr>
            </w:pPr>
            <w:r>
              <w:rPr>
                <w:rFonts w:hint="eastAsia" w:ascii="仿宋" w:hAnsi="仿宋" w:eastAsia="仿宋"/>
                <w:bCs/>
                <w:sz w:val="28"/>
                <w:szCs w:val="28"/>
              </w:rPr>
              <w:t>决赛人数：</w:t>
            </w:r>
          </w:p>
        </w:tc>
      </w:tr>
      <w:tr>
        <w:tblPrEx>
          <w:tblCellMar>
            <w:top w:w="0" w:type="dxa"/>
            <w:left w:w="108" w:type="dxa"/>
            <w:bottom w:w="0" w:type="dxa"/>
            <w:right w:w="108" w:type="dxa"/>
          </w:tblCellMar>
        </w:tblPrEx>
        <w:trPr>
          <w:trHeight w:val="840" w:hRule="atLeast"/>
        </w:trPr>
        <w:tc>
          <w:tcPr>
            <w:tcW w:w="1908" w:type="dxa"/>
            <w:tcBorders>
              <w:top w:val="single" w:color="000000" w:sz="8" w:space="0"/>
              <w:left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申请补助金额</w:t>
            </w:r>
          </w:p>
        </w:tc>
        <w:tc>
          <w:tcPr>
            <w:tcW w:w="7092" w:type="dxa"/>
            <w:gridSpan w:val="3"/>
            <w:tcBorders>
              <w:top w:val="single" w:color="000000" w:sz="8" w:space="0"/>
              <w:left w:val="single" w:color="auto" w:sz="4" w:space="0"/>
              <w:right w:val="single" w:color="auto" w:sz="4" w:space="0"/>
            </w:tcBorders>
            <w:vAlign w:val="center"/>
          </w:tcPr>
          <w:p>
            <w:pPr>
              <w:spacing w:line="400" w:lineRule="exact"/>
              <w:jc w:val="center"/>
              <w:rPr>
                <w:rFonts w:ascii="仿宋" w:hAnsi="仿宋" w:eastAsia="仿宋"/>
                <w:bCs/>
                <w:sz w:val="28"/>
                <w:szCs w:val="28"/>
              </w:rPr>
            </w:pPr>
          </w:p>
          <w:p>
            <w:pPr>
              <w:spacing w:line="400" w:lineRule="exact"/>
              <w:jc w:val="center"/>
              <w:rPr>
                <w:rFonts w:ascii="仿宋" w:hAnsi="仿宋" w:eastAsia="仿宋"/>
                <w:bCs/>
                <w:sz w:val="28"/>
                <w:szCs w:val="28"/>
              </w:rPr>
            </w:pPr>
          </w:p>
        </w:tc>
      </w:tr>
      <w:tr>
        <w:tblPrEx>
          <w:tblCellMar>
            <w:top w:w="0" w:type="dxa"/>
            <w:left w:w="108" w:type="dxa"/>
            <w:bottom w:w="0" w:type="dxa"/>
            <w:right w:w="108" w:type="dxa"/>
          </w:tblCellMar>
        </w:tblPrEx>
        <w:trPr>
          <w:trHeight w:val="1209" w:hRule="atLeast"/>
        </w:trPr>
        <w:tc>
          <w:tcPr>
            <w:tcW w:w="1908" w:type="dxa"/>
            <w:tcBorders>
              <w:top w:val="single" w:color="000000" w:sz="8" w:space="0"/>
              <w:left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申报材料</w:t>
            </w:r>
          </w:p>
        </w:tc>
        <w:tc>
          <w:tcPr>
            <w:tcW w:w="7092" w:type="dxa"/>
            <w:gridSpan w:val="3"/>
            <w:tcBorders>
              <w:top w:val="single" w:color="000000" w:sz="8" w:space="0"/>
              <w:left w:val="single" w:color="auto" w:sz="4" w:space="0"/>
              <w:right w:val="single" w:color="auto" w:sz="4" w:space="0"/>
            </w:tcBorders>
            <w:vAlign w:val="center"/>
          </w:tcPr>
          <w:p>
            <w:pPr>
              <w:spacing w:line="400" w:lineRule="exact"/>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、经费补助申请函</w:t>
            </w:r>
            <w:r>
              <w:rPr>
                <w:rFonts w:ascii="仿宋" w:hAnsi="仿宋" w:eastAsia="仿宋"/>
                <w:bCs/>
                <w:sz w:val="28"/>
                <w:szCs w:val="28"/>
              </w:rPr>
              <w:t xml:space="preserve">          2</w:t>
            </w:r>
            <w:r>
              <w:rPr>
                <w:rFonts w:hint="eastAsia" w:ascii="仿宋" w:hAnsi="仿宋" w:eastAsia="仿宋"/>
                <w:bCs/>
                <w:sz w:val="28"/>
                <w:szCs w:val="28"/>
              </w:rPr>
              <w:t>、竞赛文件</w:t>
            </w:r>
          </w:p>
          <w:p>
            <w:pPr>
              <w:spacing w:line="400" w:lineRule="exact"/>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、竞赛总结（含图片）</w:t>
            </w:r>
            <w:r>
              <w:rPr>
                <w:rFonts w:ascii="仿宋" w:hAnsi="仿宋" w:eastAsia="仿宋"/>
                <w:bCs/>
                <w:sz w:val="28"/>
                <w:szCs w:val="28"/>
              </w:rPr>
              <w:t xml:space="preserve">      4</w:t>
            </w:r>
            <w:r>
              <w:rPr>
                <w:rFonts w:hint="eastAsia" w:ascii="仿宋" w:hAnsi="仿宋" w:eastAsia="仿宋"/>
                <w:bCs/>
                <w:sz w:val="28"/>
                <w:szCs w:val="28"/>
              </w:rPr>
              <w:t>、竞赛预算、决算清单</w:t>
            </w:r>
          </w:p>
          <w:p>
            <w:pPr>
              <w:spacing w:line="400" w:lineRule="exact"/>
              <w:rPr>
                <w:rFonts w:ascii="仿宋" w:hAnsi="仿宋" w:eastAsia="仿宋"/>
                <w:bCs/>
                <w:sz w:val="28"/>
                <w:szCs w:val="28"/>
              </w:rPr>
            </w:pPr>
            <w:r>
              <w:rPr>
                <w:rFonts w:ascii="仿宋" w:hAnsi="仿宋" w:eastAsia="仿宋"/>
                <w:bCs/>
                <w:sz w:val="28"/>
                <w:szCs w:val="28"/>
              </w:rPr>
              <w:t>5</w:t>
            </w:r>
            <w:r>
              <w:rPr>
                <w:rFonts w:hint="eastAsia" w:ascii="仿宋" w:hAnsi="仿宋" w:eastAsia="仿宋"/>
                <w:bCs/>
                <w:sz w:val="28"/>
                <w:szCs w:val="28"/>
              </w:rPr>
              <w:t>、其他</w:t>
            </w:r>
          </w:p>
        </w:tc>
      </w:tr>
      <w:tr>
        <w:tblPrEx>
          <w:tblCellMar>
            <w:top w:w="0" w:type="dxa"/>
            <w:left w:w="108" w:type="dxa"/>
            <w:bottom w:w="0" w:type="dxa"/>
            <w:right w:w="108" w:type="dxa"/>
          </w:tblCellMar>
        </w:tblPrEx>
        <w:trPr>
          <w:trHeight w:val="1663" w:hRule="atLeast"/>
        </w:trPr>
        <w:tc>
          <w:tcPr>
            <w:tcW w:w="1908"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承办单位</w:t>
            </w:r>
          </w:p>
          <w:p>
            <w:pPr>
              <w:spacing w:line="400" w:lineRule="exact"/>
              <w:jc w:val="center"/>
              <w:rPr>
                <w:rFonts w:ascii="仿宋" w:hAnsi="仿宋" w:eastAsia="仿宋"/>
                <w:bCs/>
                <w:sz w:val="28"/>
                <w:szCs w:val="28"/>
              </w:rPr>
            </w:pPr>
            <w:r>
              <w:rPr>
                <w:rFonts w:hint="eastAsia" w:ascii="仿宋" w:hAnsi="仿宋" w:eastAsia="仿宋"/>
                <w:bCs/>
                <w:sz w:val="28"/>
                <w:szCs w:val="28"/>
              </w:rPr>
              <w:t>意见</w:t>
            </w:r>
          </w:p>
        </w:tc>
        <w:tc>
          <w:tcPr>
            <w:tcW w:w="7092" w:type="dxa"/>
            <w:gridSpan w:val="3"/>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p>
            <w:pPr>
              <w:spacing w:line="400" w:lineRule="exact"/>
              <w:jc w:val="center"/>
              <w:rPr>
                <w:rFonts w:ascii="仿宋" w:hAnsi="仿宋" w:eastAsia="仿宋"/>
                <w:bCs/>
                <w:sz w:val="28"/>
                <w:szCs w:val="28"/>
              </w:rPr>
            </w:pPr>
          </w:p>
          <w:p>
            <w:pPr>
              <w:spacing w:line="400" w:lineRule="exact"/>
              <w:jc w:val="center"/>
              <w:rPr>
                <w:rFonts w:ascii="仿宋" w:hAnsi="仿宋" w:eastAsia="仿宋"/>
                <w:bCs/>
                <w:sz w:val="28"/>
                <w:szCs w:val="28"/>
              </w:rPr>
            </w:pPr>
            <w:r>
              <w:rPr>
                <w:rFonts w:hint="eastAsia" w:ascii="仿宋" w:hAnsi="仿宋" w:eastAsia="仿宋"/>
                <w:bCs/>
                <w:sz w:val="28"/>
                <w:szCs w:val="28"/>
              </w:rPr>
              <w:t>（盖章）</w:t>
            </w:r>
          </w:p>
          <w:p>
            <w:pPr>
              <w:spacing w:line="400" w:lineRule="exact"/>
              <w:jc w:val="center"/>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月日</w:t>
            </w:r>
          </w:p>
        </w:tc>
      </w:tr>
      <w:tr>
        <w:tblPrEx>
          <w:tblCellMar>
            <w:top w:w="0" w:type="dxa"/>
            <w:left w:w="108" w:type="dxa"/>
            <w:bottom w:w="0" w:type="dxa"/>
            <w:right w:w="108" w:type="dxa"/>
          </w:tblCellMar>
        </w:tblPrEx>
        <w:trPr>
          <w:trHeight w:val="1627" w:hRule="atLeast"/>
        </w:trPr>
        <w:tc>
          <w:tcPr>
            <w:tcW w:w="1908"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主办单位</w:t>
            </w:r>
          </w:p>
          <w:p>
            <w:pPr>
              <w:spacing w:line="400" w:lineRule="exact"/>
              <w:jc w:val="center"/>
              <w:rPr>
                <w:rFonts w:ascii="仿宋" w:hAnsi="仿宋" w:eastAsia="仿宋"/>
                <w:bCs/>
                <w:sz w:val="28"/>
                <w:szCs w:val="28"/>
              </w:rPr>
            </w:pPr>
            <w:r>
              <w:rPr>
                <w:rFonts w:hint="eastAsia" w:ascii="仿宋" w:hAnsi="仿宋" w:eastAsia="仿宋"/>
                <w:bCs/>
                <w:sz w:val="28"/>
                <w:szCs w:val="28"/>
              </w:rPr>
              <w:t>意见</w:t>
            </w:r>
          </w:p>
        </w:tc>
        <w:tc>
          <w:tcPr>
            <w:tcW w:w="7092" w:type="dxa"/>
            <w:gridSpan w:val="3"/>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p>
            <w:pPr>
              <w:spacing w:line="400" w:lineRule="exact"/>
              <w:jc w:val="center"/>
              <w:rPr>
                <w:rFonts w:ascii="仿宋" w:hAnsi="仿宋" w:eastAsia="仿宋"/>
                <w:bCs/>
                <w:sz w:val="28"/>
                <w:szCs w:val="28"/>
              </w:rPr>
            </w:pPr>
            <w:r>
              <w:rPr>
                <w:rFonts w:hint="eastAsia" w:ascii="仿宋" w:hAnsi="仿宋" w:eastAsia="仿宋"/>
                <w:bCs/>
                <w:sz w:val="28"/>
                <w:szCs w:val="28"/>
              </w:rPr>
              <w:t>（盖章）</w:t>
            </w:r>
          </w:p>
          <w:p>
            <w:pPr>
              <w:spacing w:line="400" w:lineRule="exact"/>
              <w:jc w:val="center"/>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月日</w:t>
            </w:r>
          </w:p>
        </w:tc>
      </w:tr>
      <w:tr>
        <w:tblPrEx>
          <w:tblCellMar>
            <w:top w:w="0" w:type="dxa"/>
            <w:left w:w="108" w:type="dxa"/>
            <w:bottom w:w="0" w:type="dxa"/>
            <w:right w:w="108" w:type="dxa"/>
          </w:tblCellMar>
        </w:tblPrEx>
        <w:trPr>
          <w:trHeight w:val="1724" w:hRule="atLeast"/>
        </w:trPr>
        <w:tc>
          <w:tcPr>
            <w:tcW w:w="1908"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竞赛管理</w:t>
            </w:r>
          </w:p>
          <w:p>
            <w:pPr>
              <w:spacing w:line="400" w:lineRule="exact"/>
              <w:jc w:val="center"/>
              <w:rPr>
                <w:rFonts w:ascii="仿宋" w:hAnsi="仿宋" w:eastAsia="仿宋"/>
                <w:bCs/>
                <w:sz w:val="28"/>
                <w:szCs w:val="28"/>
              </w:rPr>
            </w:pPr>
            <w:r>
              <w:rPr>
                <w:rFonts w:hint="eastAsia" w:ascii="仿宋" w:hAnsi="仿宋" w:eastAsia="仿宋"/>
                <w:bCs/>
                <w:sz w:val="28"/>
                <w:szCs w:val="28"/>
              </w:rPr>
              <w:t>办公室意见</w:t>
            </w:r>
          </w:p>
        </w:tc>
        <w:tc>
          <w:tcPr>
            <w:tcW w:w="7092" w:type="dxa"/>
            <w:gridSpan w:val="3"/>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（盖章）</w:t>
            </w:r>
          </w:p>
          <w:p>
            <w:pPr>
              <w:spacing w:line="400" w:lineRule="exact"/>
              <w:jc w:val="center"/>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月日</w:t>
            </w:r>
          </w:p>
        </w:tc>
      </w:tr>
    </w:tbl>
    <w:p>
      <w:pPr>
        <w:rPr>
          <w:rFonts w:ascii="方正小标宋简体" w:hAnsi="仿宋" w:eastAsia="黑体"/>
          <w:sz w:val="44"/>
          <w:szCs w:val="44"/>
        </w:rPr>
      </w:pPr>
      <w:r>
        <w:rPr>
          <w:rFonts w:hint="eastAsia" w:ascii="黑体" w:hAnsi="仿宋" w:eastAsia="黑体"/>
          <w:sz w:val="32"/>
          <w:szCs w:val="32"/>
        </w:rPr>
        <w:t>附件</w:t>
      </w:r>
      <w:r>
        <w:rPr>
          <w:rFonts w:ascii="黑体" w:hAnsi="仿宋" w:eastAsia="黑体"/>
          <w:sz w:val="32"/>
          <w:szCs w:val="32"/>
        </w:rPr>
        <w:t>4</w:t>
      </w:r>
    </w:p>
    <w:p>
      <w:pPr>
        <w:spacing w:beforeLines="50" w:afterLines="100" w:line="44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福州市集训基地补助申请表</w:t>
      </w:r>
    </w:p>
    <w:tbl>
      <w:tblPr>
        <w:tblStyle w:val="9"/>
        <w:tblpPr w:leftFromText="180" w:rightFromText="180" w:vertAnchor="page" w:horzAnchor="page" w:tblpX="1539" w:tblpY="2988"/>
        <w:tblW w:w="9000" w:type="dxa"/>
        <w:tblInd w:w="0" w:type="dxa"/>
        <w:tblLayout w:type="fixed"/>
        <w:tblCellMar>
          <w:top w:w="0" w:type="dxa"/>
          <w:left w:w="108" w:type="dxa"/>
          <w:bottom w:w="0" w:type="dxa"/>
          <w:right w:w="108" w:type="dxa"/>
        </w:tblCellMar>
      </w:tblPr>
      <w:tblGrid>
        <w:gridCol w:w="2017"/>
        <w:gridCol w:w="6983"/>
      </w:tblGrid>
      <w:tr>
        <w:tblPrEx>
          <w:tblCellMar>
            <w:top w:w="0" w:type="dxa"/>
            <w:left w:w="108" w:type="dxa"/>
            <w:bottom w:w="0" w:type="dxa"/>
            <w:right w:w="108" w:type="dxa"/>
          </w:tblCellMar>
        </w:tblPrEx>
        <w:trPr>
          <w:trHeight w:val="680"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autoSpaceDE w:val="0"/>
              <w:autoSpaceDN w:val="0"/>
              <w:adjustRightInd w:val="0"/>
              <w:spacing w:line="520" w:lineRule="exact"/>
              <w:jc w:val="center"/>
              <w:rPr>
                <w:rFonts w:ascii="宋体" w:cs="仿宋_GB2312"/>
                <w:b/>
                <w:bCs/>
                <w:kern w:val="0"/>
                <w:sz w:val="30"/>
                <w:szCs w:val="30"/>
              </w:rPr>
            </w:pPr>
            <w:r>
              <w:rPr>
                <w:rFonts w:hint="eastAsia" w:ascii="仿宋" w:hAnsi="仿宋" w:eastAsia="仿宋"/>
                <w:bCs/>
                <w:sz w:val="28"/>
                <w:szCs w:val="28"/>
              </w:rPr>
              <w:t>集训基地名称</w:t>
            </w:r>
          </w:p>
        </w:tc>
        <w:tc>
          <w:tcPr>
            <w:tcW w:w="6983" w:type="dxa"/>
            <w:tcBorders>
              <w:top w:val="single" w:color="000000" w:sz="8" w:space="0"/>
              <w:left w:val="single" w:color="auto" w:sz="4" w:space="0"/>
              <w:bottom w:val="single" w:color="000000" w:sz="8" w:space="0"/>
              <w:right w:val="single" w:color="auto" w:sz="4" w:space="0"/>
            </w:tcBorders>
            <w:vAlign w:val="center"/>
          </w:tcPr>
          <w:p>
            <w:pPr>
              <w:autoSpaceDE w:val="0"/>
              <w:autoSpaceDN w:val="0"/>
              <w:adjustRightInd w:val="0"/>
              <w:spacing w:line="520" w:lineRule="exact"/>
              <w:jc w:val="center"/>
              <w:rPr>
                <w:rFonts w:ascii="宋体" w:cs="仿宋_GB2312"/>
                <w:b/>
                <w:bCs/>
                <w:kern w:val="0"/>
                <w:sz w:val="30"/>
                <w:szCs w:val="30"/>
              </w:rPr>
            </w:pPr>
          </w:p>
        </w:tc>
      </w:tr>
      <w:tr>
        <w:tblPrEx>
          <w:tblCellMar>
            <w:top w:w="0" w:type="dxa"/>
            <w:left w:w="108" w:type="dxa"/>
            <w:bottom w:w="0" w:type="dxa"/>
            <w:right w:w="108" w:type="dxa"/>
          </w:tblCellMar>
        </w:tblPrEx>
        <w:trPr>
          <w:trHeight w:val="613"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集训项目</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tc>
      </w:tr>
      <w:tr>
        <w:tblPrEx>
          <w:tblCellMar>
            <w:top w:w="0" w:type="dxa"/>
            <w:left w:w="108" w:type="dxa"/>
            <w:bottom w:w="0" w:type="dxa"/>
            <w:right w:w="108" w:type="dxa"/>
          </w:tblCellMar>
        </w:tblPrEx>
        <w:trPr>
          <w:trHeight w:val="594"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所在单位</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tc>
      </w:tr>
      <w:tr>
        <w:trPr>
          <w:trHeight w:val="600" w:hRule="atLeast"/>
        </w:trPr>
        <w:tc>
          <w:tcPr>
            <w:tcW w:w="2017" w:type="dxa"/>
            <w:tcBorders>
              <w:top w:val="single" w:color="000000" w:sz="8" w:space="0"/>
              <w:left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户名</w:t>
            </w:r>
          </w:p>
        </w:tc>
        <w:tc>
          <w:tcPr>
            <w:tcW w:w="6983" w:type="dxa"/>
            <w:tcBorders>
              <w:top w:val="single" w:color="000000" w:sz="8" w:space="0"/>
              <w:left w:val="single" w:color="auto" w:sz="4" w:space="0"/>
              <w:right w:val="single" w:color="auto" w:sz="4" w:space="0"/>
            </w:tcBorders>
            <w:vAlign w:val="center"/>
          </w:tcPr>
          <w:p>
            <w:pPr>
              <w:spacing w:line="400" w:lineRule="exact"/>
              <w:rPr>
                <w:rFonts w:ascii="仿宋" w:hAnsi="仿宋" w:eastAsia="仿宋"/>
                <w:bCs/>
                <w:sz w:val="28"/>
                <w:szCs w:val="28"/>
              </w:rPr>
            </w:pPr>
          </w:p>
        </w:tc>
      </w:tr>
      <w:tr>
        <w:tblPrEx>
          <w:tblCellMar>
            <w:top w:w="0" w:type="dxa"/>
            <w:left w:w="108" w:type="dxa"/>
            <w:bottom w:w="0" w:type="dxa"/>
            <w:right w:w="108" w:type="dxa"/>
          </w:tblCellMar>
        </w:tblPrEx>
        <w:trPr>
          <w:trHeight w:val="650" w:hRule="atLeast"/>
        </w:trPr>
        <w:tc>
          <w:tcPr>
            <w:tcW w:w="2017" w:type="dxa"/>
            <w:tcBorders>
              <w:top w:val="single" w:color="000000" w:sz="8" w:space="0"/>
              <w:left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银行账号</w:t>
            </w:r>
          </w:p>
        </w:tc>
        <w:tc>
          <w:tcPr>
            <w:tcW w:w="6983" w:type="dxa"/>
            <w:tcBorders>
              <w:top w:val="single" w:color="000000" w:sz="8" w:space="0"/>
              <w:left w:val="single" w:color="auto" w:sz="4" w:space="0"/>
              <w:right w:val="single" w:color="auto" w:sz="4" w:space="0"/>
            </w:tcBorders>
            <w:vAlign w:val="center"/>
          </w:tcPr>
          <w:p>
            <w:pPr>
              <w:spacing w:line="400" w:lineRule="exact"/>
              <w:jc w:val="center"/>
              <w:rPr>
                <w:rFonts w:ascii="仿宋" w:hAnsi="仿宋" w:eastAsia="仿宋"/>
                <w:bCs/>
                <w:sz w:val="28"/>
                <w:szCs w:val="28"/>
              </w:rPr>
            </w:pPr>
          </w:p>
        </w:tc>
      </w:tr>
      <w:tr>
        <w:tblPrEx>
          <w:tblCellMar>
            <w:top w:w="0" w:type="dxa"/>
            <w:left w:w="108" w:type="dxa"/>
            <w:bottom w:w="0" w:type="dxa"/>
            <w:right w:w="108" w:type="dxa"/>
          </w:tblCellMar>
        </w:tblPrEx>
        <w:trPr>
          <w:trHeight w:val="583" w:hRule="atLeast"/>
        </w:trPr>
        <w:tc>
          <w:tcPr>
            <w:tcW w:w="2017" w:type="dxa"/>
            <w:tcBorders>
              <w:top w:val="single" w:color="000000" w:sz="8" w:space="0"/>
              <w:left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开户行</w:t>
            </w:r>
          </w:p>
        </w:tc>
        <w:tc>
          <w:tcPr>
            <w:tcW w:w="6983" w:type="dxa"/>
            <w:tcBorders>
              <w:top w:val="single" w:color="000000" w:sz="8" w:space="0"/>
              <w:left w:val="single" w:color="auto" w:sz="4" w:space="0"/>
              <w:right w:val="single" w:color="auto" w:sz="4" w:space="0"/>
            </w:tcBorders>
            <w:vAlign w:val="center"/>
          </w:tcPr>
          <w:p>
            <w:pPr>
              <w:spacing w:line="400" w:lineRule="exact"/>
              <w:rPr>
                <w:rFonts w:ascii="仿宋" w:hAnsi="仿宋" w:eastAsia="仿宋"/>
                <w:bCs/>
                <w:sz w:val="28"/>
                <w:szCs w:val="28"/>
              </w:rPr>
            </w:pPr>
          </w:p>
        </w:tc>
      </w:tr>
      <w:tr>
        <w:tblPrEx>
          <w:tblCellMar>
            <w:top w:w="0" w:type="dxa"/>
            <w:left w:w="108" w:type="dxa"/>
            <w:bottom w:w="0" w:type="dxa"/>
            <w:right w:w="108" w:type="dxa"/>
          </w:tblCellMar>
        </w:tblPrEx>
        <w:trPr>
          <w:trHeight w:val="1663"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申报材料</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rPr>
                <w:rFonts w:ascii="仿宋" w:hAnsi="仿宋" w:eastAsia="仿宋"/>
                <w:bCs/>
                <w:sz w:val="28"/>
                <w:szCs w:val="28"/>
              </w:rPr>
            </w:pPr>
            <w:r>
              <w:rPr>
                <w:rFonts w:ascii="仿宋" w:hAnsi="仿宋" w:eastAsia="仿宋"/>
                <w:bCs/>
                <w:sz w:val="28"/>
                <w:szCs w:val="28"/>
              </w:rPr>
              <w:t>1</w:t>
            </w:r>
            <w:r>
              <w:rPr>
                <w:rFonts w:hint="eastAsia" w:ascii="仿宋" w:hAnsi="仿宋" w:eastAsia="仿宋"/>
                <w:bCs/>
                <w:sz w:val="28"/>
                <w:szCs w:val="28"/>
              </w:rPr>
              <w:t>、集训文件</w:t>
            </w:r>
          </w:p>
          <w:p>
            <w:pPr>
              <w:spacing w:line="400" w:lineRule="exact"/>
              <w:rPr>
                <w:rFonts w:ascii="仿宋" w:hAnsi="仿宋" w:eastAsia="仿宋"/>
                <w:bCs/>
                <w:sz w:val="28"/>
                <w:szCs w:val="28"/>
              </w:rPr>
            </w:pPr>
            <w:r>
              <w:rPr>
                <w:rFonts w:ascii="仿宋" w:hAnsi="仿宋" w:eastAsia="仿宋"/>
                <w:bCs/>
                <w:sz w:val="28"/>
                <w:szCs w:val="28"/>
              </w:rPr>
              <w:t>2</w:t>
            </w:r>
            <w:r>
              <w:rPr>
                <w:rFonts w:hint="eastAsia" w:ascii="仿宋" w:hAnsi="仿宋" w:eastAsia="仿宋"/>
                <w:bCs/>
                <w:sz w:val="28"/>
                <w:szCs w:val="28"/>
              </w:rPr>
              <w:t>、集训总结（含图片）</w:t>
            </w:r>
          </w:p>
          <w:p>
            <w:pPr>
              <w:spacing w:line="400" w:lineRule="exact"/>
              <w:rPr>
                <w:rFonts w:ascii="仿宋" w:hAnsi="仿宋" w:eastAsia="仿宋"/>
                <w:bCs/>
                <w:sz w:val="28"/>
                <w:szCs w:val="28"/>
              </w:rPr>
            </w:pPr>
            <w:r>
              <w:rPr>
                <w:rFonts w:ascii="仿宋" w:hAnsi="仿宋" w:eastAsia="仿宋"/>
                <w:bCs/>
                <w:sz w:val="28"/>
                <w:szCs w:val="28"/>
              </w:rPr>
              <w:t>3</w:t>
            </w:r>
            <w:r>
              <w:rPr>
                <w:rFonts w:hint="eastAsia" w:ascii="仿宋" w:hAnsi="仿宋" w:eastAsia="仿宋"/>
                <w:bCs/>
                <w:sz w:val="28"/>
                <w:szCs w:val="28"/>
              </w:rPr>
              <w:t>、集训预算、决算清单及相关票据（加盖公章）</w:t>
            </w:r>
          </w:p>
        </w:tc>
      </w:tr>
      <w:tr>
        <w:trPr>
          <w:trHeight w:val="1773"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所在单位</w:t>
            </w:r>
          </w:p>
          <w:p>
            <w:pPr>
              <w:spacing w:line="400" w:lineRule="exact"/>
              <w:jc w:val="center"/>
              <w:rPr>
                <w:rFonts w:ascii="仿宋" w:hAnsi="仿宋" w:eastAsia="仿宋"/>
                <w:bCs/>
                <w:sz w:val="28"/>
                <w:szCs w:val="28"/>
              </w:rPr>
            </w:pPr>
            <w:r>
              <w:rPr>
                <w:rFonts w:hint="eastAsia" w:ascii="仿宋" w:hAnsi="仿宋" w:eastAsia="仿宋"/>
                <w:bCs/>
                <w:sz w:val="28"/>
                <w:szCs w:val="28"/>
              </w:rPr>
              <w:t>意见</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p>
          <w:p>
            <w:pPr>
              <w:spacing w:line="400" w:lineRule="exact"/>
              <w:jc w:val="center"/>
              <w:rPr>
                <w:rFonts w:ascii="仿宋" w:hAnsi="仿宋" w:eastAsia="仿宋"/>
                <w:bCs/>
                <w:sz w:val="28"/>
                <w:szCs w:val="28"/>
              </w:rPr>
            </w:pPr>
            <w:r>
              <w:rPr>
                <w:rFonts w:hint="eastAsia" w:ascii="仿宋" w:hAnsi="仿宋" w:eastAsia="仿宋"/>
                <w:bCs/>
                <w:sz w:val="28"/>
                <w:szCs w:val="28"/>
              </w:rPr>
              <w:t>（盖章）</w:t>
            </w:r>
          </w:p>
          <w:p>
            <w:pPr>
              <w:spacing w:line="400" w:lineRule="exact"/>
              <w:jc w:val="center"/>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月日</w:t>
            </w:r>
          </w:p>
        </w:tc>
      </w:tr>
      <w:tr>
        <w:tblPrEx>
          <w:tblCellMar>
            <w:top w:w="0" w:type="dxa"/>
            <w:left w:w="108" w:type="dxa"/>
            <w:bottom w:w="0" w:type="dxa"/>
            <w:right w:w="108" w:type="dxa"/>
          </w:tblCellMar>
        </w:tblPrEx>
        <w:trPr>
          <w:trHeight w:val="1684"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主管单位</w:t>
            </w:r>
          </w:p>
          <w:p>
            <w:pPr>
              <w:spacing w:line="400" w:lineRule="exact"/>
              <w:jc w:val="center"/>
              <w:rPr>
                <w:rFonts w:ascii="仿宋" w:hAnsi="仿宋" w:eastAsia="仿宋"/>
                <w:bCs/>
                <w:sz w:val="28"/>
                <w:szCs w:val="28"/>
              </w:rPr>
            </w:pPr>
            <w:r>
              <w:rPr>
                <w:rFonts w:hint="eastAsia" w:ascii="仿宋" w:hAnsi="仿宋" w:eastAsia="仿宋"/>
                <w:bCs/>
                <w:sz w:val="28"/>
                <w:szCs w:val="28"/>
              </w:rPr>
              <w:t>意见</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（盖章）</w:t>
            </w:r>
          </w:p>
          <w:p>
            <w:pPr>
              <w:spacing w:line="400" w:lineRule="exact"/>
              <w:jc w:val="center"/>
              <w:rPr>
                <w:rFonts w:ascii="仿宋" w:hAnsi="仿宋" w:eastAsia="仿宋"/>
                <w:bCs/>
                <w:sz w:val="28"/>
                <w:szCs w:val="28"/>
              </w:rPr>
            </w:pPr>
            <w:r>
              <w:rPr>
                <w:rFonts w:ascii="仿宋" w:hAnsi="仿宋" w:eastAsia="仿宋"/>
                <w:bCs/>
                <w:sz w:val="28"/>
                <w:szCs w:val="28"/>
              </w:rPr>
              <w:t xml:space="preserve">             </w:t>
            </w: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月日</w:t>
            </w:r>
          </w:p>
        </w:tc>
      </w:tr>
      <w:tr>
        <w:tblPrEx>
          <w:tblCellMar>
            <w:top w:w="0" w:type="dxa"/>
            <w:left w:w="108" w:type="dxa"/>
            <w:bottom w:w="0" w:type="dxa"/>
            <w:right w:w="108" w:type="dxa"/>
          </w:tblCellMar>
        </w:tblPrEx>
        <w:trPr>
          <w:trHeight w:val="1454"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竞赛管理</w:t>
            </w:r>
          </w:p>
          <w:p>
            <w:pPr>
              <w:spacing w:line="400" w:lineRule="exact"/>
              <w:jc w:val="center"/>
              <w:rPr>
                <w:rFonts w:ascii="仿宋" w:hAnsi="仿宋" w:eastAsia="仿宋"/>
                <w:bCs/>
                <w:sz w:val="28"/>
                <w:szCs w:val="28"/>
              </w:rPr>
            </w:pPr>
            <w:r>
              <w:rPr>
                <w:rFonts w:hint="eastAsia" w:ascii="仿宋" w:hAnsi="仿宋" w:eastAsia="仿宋"/>
                <w:bCs/>
                <w:sz w:val="28"/>
                <w:szCs w:val="28"/>
              </w:rPr>
              <w:t>办公室意见</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jc w:val="right"/>
              <w:rPr>
                <w:rFonts w:ascii="仿宋" w:hAnsi="仿宋" w:eastAsia="仿宋"/>
                <w:bCs/>
                <w:sz w:val="28"/>
                <w:szCs w:val="28"/>
              </w:rPr>
            </w:pPr>
          </w:p>
          <w:p>
            <w:pPr>
              <w:spacing w:line="400" w:lineRule="exact"/>
              <w:jc w:val="center"/>
              <w:rPr>
                <w:rFonts w:ascii="仿宋" w:hAnsi="仿宋" w:eastAsia="仿宋"/>
                <w:bCs/>
                <w:sz w:val="28"/>
                <w:szCs w:val="28"/>
              </w:rPr>
            </w:pPr>
            <w:r>
              <w:rPr>
                <w:rFonts w:hint="eastAsia" w:ascii="仿宋" w:hAnsi="仿宋" w:eastAsia="仿宋"/>
                <w:bCs/>
                <w:sz w:val="28"/>
                <w:szCs w:val="28"/>
              </w:rPr>
              <w:t>（盖章）</w:t>
            </w:r>
          </w:p>
          <w:p>
            <w:pPr>
              <w:spacing w:line="400" w:lineRule="exact"/>
              <w:jc w:val="center"/>
              <w:rPr>
                <w:rFonts w:ascii="仿宋" w:hAnsi="仿宋" w:eastAsia="仿宋"/>
                <w:bCs/>
                <w:sz w:val="28"/>
                <w:szCs w:val="28"/>
              </w:rPr>
            </w:pPr>
            <w:r>
              <w:rPr>
                <w:rFonts w:hint="eastAsia" w:ascii="仿宋" w:hAnsi="仿宋" w:eastAsia="仿宋"/>
                <w:bCs/>
                <w:sz w:val="28"/>
                <w:szCs w:val="28"/>
              </w:rPr>
              <w:t>年</w:t>
            </w:r>
            <w:r>
              <w:rPr>
                <w:rFonts w:ascii="仿宋" w:hAnsi="仿宋" w:eastAsia="仿宋"/>
                <w:bCs/>
                <w:sz w:val="28"/>
                <w:szCs w:val="28"/>
              </w:rPr>
              <w:t xml:space="preserve">   </w:t>
            </w:r>
            <w:r>
              <w:rPr>
                <w:rFonts w:hint="eastAsia" w:ascii="仿宋" w:hAnsi="仿宋" w:eastAsia="仿宋"/>
                <w:bCs/>
                <w:sz w:val="28"/>
                <w:szCs w:val="28"/>
              </w:rPr>
              <w:t>月日</w:t>
            </w:r>
          </w:p>
        </w:tc>
      </w:tr>
      <w:tr>
        <w:tblPrEx>
          <w:tblCellMar>
            <w:top w:w="0" w:type="dxa"/>
            <w:left w:w="108" w:type="dxa"/>
            <w:bottom w:w="0" w:type="dxa"/>
            <w:right w:w="108" w:type="dxa"/>
          </w:tblCellMar>
        </w:tblPrEx>
        <w:trPr>
          <w:trHeight w:val="904" w:hRule="atLeast"/>
        </w:trPr>
        <w:tc>
          <w:tcPr>
            <w:tcW w:w="2017" w:type="dxa"/>
            <w:tcBorders>
              <w:top w:val="single" w:color="000000" w:sz="8" w:space="0"/>
              <w:left w:val="single" w:color="000000" w:sz="8" w:space="0"/>
              <w:bottom w:val="single" w:color="000000" w:sz="8" w:space="0"/>
              <w:right w:val="single" w:color="auto" w:sz="4" w:space="0"/>
            </w:tcBorders>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c>
          <w:tcPr>
            <w:tcW w:w="6983" w:type="dxa"/>
            <w:tcBorders>
              <w:top w:val="single" w:color="000000" w:sz="8" w:space="0"/>
              <w:left w:val="single" w:color="auto" w:sz="4" w:space="0"/>
              <w:bottom w:val="single" w:color="000000" w:sz="8" w:space="0"/>
              <w:right w:val="single" w:color="auto" w:sz="4" w:space="0"/>
            </w:tcBorders>
            <w:vAlign w:val="center"/>
          </w:tcPr>
          <w:p>
            <w:pPr>
              <w:spacing w:line="400" w:lineRule="exact"/>
              <w:jc w:val="right"/>
              <w:rPr>
                <w:rFonts w:ascii="仿宋" w:hAnsi="仿宋" w:eastAsia="仿宋"/>
                <w:bCs/>
                <w:sz w:val="28"/>
                <w:szCs w:val="28"/>
              </w:rPr>
            </w:pPr>
          </w:p>
        </w:tc>
      </w:tr>
    </w:tbl>
    <w:p>
      <w:pPr>
        <w:rPr>
          <w:rFonts w:ascii="黑体" w:hAnsi="仿宋" w:eastAsia="黑体"/>
          <w:sz w:val="32"/>
          <w:szCs w:val="32"/>
        </w:rPr>
      </w:pPr>
      <w:r>
        <w:rPr>
          <w:sz w:val="32"/>
          <w:szCs w:val="32"/>
        </w:rPr>
        <w:br w:type="page"/>
      </w:r>
      <w:r>
        <w:rPr>
          <w:rFonts w:hint="eastAsia" w:ascii="黑体" w:hAnsi="仿宋" w:eastAsia="黑体"/>
          <w:sz w:val="32"/>
          <w:szCs w:val="32"/>
        </w:rPr>
        <w:t>附件</w:t>
      </w:r>
      <w:r>
        <w:rPr>
          <w:rFonts w:ascii="黑体" w:hAnsi="仿宋" w:eastAsia="黑体"/>
          <w:sz w:val="32"/>
          <w:szCs w:val="32"/>
        </w:rPr>
        <w:t>5</w:t>
      </w:r>
    </w:p>
    <w:p>
      <w:pPr>
        <w:spacing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福州市职业技能竞赛个人奖励申请表</w:t>
      </w:r>
    </w:p>
    <w:p>
      <w:pPr>
        <w:rPr>
          <w:rFonts w:ascii="黑体" w:hAnsi="仿宋" w:eastAsia="黑体"/>
          <w:sz w:val="32"/>
          <w:szCs w:val="32"/>
        </w:rPr>
      </w:pPr>
    </w:p>
    <w:tbl>
      <w:tblPr>
        <w:tblStyle w:val="9"/>
        <w:tblpPr w:leftFromText="180" w:rightFromText="180" w:vertAnchor="page" w:horzAnchor="page" w:tblpX="1746" w:tblpY="3531"/>
        <w:tblOverlap w:val="never"/>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2"/>
        <w:gridCol w:w="999"/>
        <w:gridCol w:w="484"/>
        <w:gridCol w:w="771"/>
        <w:gridCol w:w="500"/>
        <w:gridCol w:w="678"/>
        <w:gridCol w:w="1268"/>
        <w:gridCol w:w="1070"/>
        <w:gridCol w:w="1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1482" w:type="dxa"/>
            <w:noWrap/>
          </w:tcPr>
          <w:p>
            <w:pPr>
              <w:pStyle w:val="22"/>
              <w:tabs>
                <w:tab w:val="left" w:pos="849"/>
              </w:tabs>
              <w:spacing w:before="258"/>
              <w:ind w:left="370"/>
              <w:rPr>
                <w:rFonts w:ascii="仿宋_GB2312" w:eastAsia="仿宋_GB2312"/>
                <w:sz w:val="24"/>
              </w:rPr>
            </w:pPr>
            <w:r>
              <w:rPr>
                <w:rFonts w:hint="eastAsia" w:ascii="仿宋_GB2312" w:eastAsia="仿宋_GB2312"/>
                <w:sz w:val="24"/>
              </w:rPr>
              <w:t>姓</w:t>
            </w:r>
            <w:r>
              <w:rPr>
                <w:rFonts w:hint="eastAsia" w:ascii="仿宋_GB2312" w:eastAsia="仿宋_GB2312"/>
                <w:sz w:val="24"/>
              </w:rPr>
              <w:tab/>
            </w:r>
            <w:r>
              <w:rPr>
                <w:rFonts w:hint="eastAsia" w:ascii="仿宋_GB2312" w:eastAsia="仿宋_GB2312"/>
                <w:sz w:val="24"/>
              </w:rPr>
              <w:t>名</w:t>
            </w:r>
          </w:p>
        </w:tc>
        <w:tc>
          <w:tcPr>
            <w:tcW w:w="2254" w:type="dxa"/>
            <w:gridSpan w:val="3"/>
            <w:noWrap/>
          </w:tcPr>
          <w:p>
            <w:pPr>
              <w:pStyle w:val="22"/>
              <w:rPr>
                <w:rFonts w:ascii="仿宋_GB2312" w:eastAsia="仿宋_GB2312"/>
                <w:sz w:val="24"/>
              </w:rPr>
            </w:pPr>
          </w:p>
        </w:tc>
        <w:tc>
          <w:tcPr>
            <w:tcW w:w="1178" w:type="dxa"/>
            <w:gridSpan w:val="2"/>
            <w:noWrap/>
          </w:tcPr>
          <w:p>
            <w:pPr>
              <w:pStyle w:val="22"/>
              <w:tabs>
                <w:tab w:val="left" w:pos="756"/>
              </w:tabs>
              <w:spacing w:before="258"/>
              <w:ind w:left="161"/>
              <w:rPr>
                <w:rFonts w:ascii="仿宋_GB2312" w:eastAsia="仿宋_GB2312"/>
                <w:sz w:val="24"/>
              </w:rPr>
            </w:pPr>
            <w:r>
              <w:rPr>
                <w:rFonts w:hint="eastAsia" w:ascii="仿宋_GB2312" w:eastAsia="仿宋_GB2312"/>
                <w:sz w:val="24"/>
              </w:rPr>
              <w:t>性</w:t>
            </w:r>
            <w:r>
              <w:rPr>
                <w:rFonts w:hint="eastAsia" w:ascii="仿宋_GB2312" w:eastAsia="仿宋_GB2312"/>
                <w:sz w:val="24"/>
              </w:rPr>
              <w:tab/>
            </w:r>
            <w:r>
              <w:rPr>
                <w:rFonts w:hint="eastAsia" w:ascii="仿宋_GB2312" w:eastAsia="仿宋_GB2312"/>
                <w:sz w:val="24"/>
              </w:rPr>
              <w:t>别</w:t>
            </w:r>
          </w:p>
        </w:tc>
        <w:tc>
          <w:tcPr>
            <w:tcW w:w="1268" w:type="dxa"/>
            <w:noWrap/>
          </w:tcPr>
          <w:p>
            <w:pPr>
              <w:pStyle w:val="22"/>
              <w:rPr>
                <w:rFonts w:ascii="仿宋_GB2312" w:eastAsia="仿宋_GB2312"/>
                <w:sz w:val="24"/>
              </w:rPr>
            </w:pPr>
          </w:p>
        </w:tc>
        <w:tc>
          <w:tcPr>
            <w:tcW w:w="1070" w:type="dxa"/>
            <w:noWrap/>
          </w:tcPr>
          <w:p>
            <w:pPr>
              <w:pStyle w:val="22"/>
              <w:tabs>
                <w:tab w:val="left" w:pos="699"/>
              </w:tabs>
              <w:spacing w:before="258"/>
              <w:ind w:left="104"/>
              <w:rPr>
                <w:rFonts w:ascii="仿宋_GB2312" w:eastAsia="仿宋_GB2312"/>
                <w:sz w:val="24"/>
              </w:rPr>
            </w:pPr>
            <w:r>
              <w:rPr>
                <w:rFonts w:hint="eastAsia" w:ascii="仿宋_GB2312" w:eastAsia="仿宋_GB2312"/>
                <w:sz w:val="24"/>
              </w:rPr>
              <w:t>年</w:t>
            </w:r>
            <w:r>
              <w:rPr>
                <w:rFonts w:hint="eastAsia" w:ascii="仿宋_GB2312" w:eastAsia="仿宋_GB2312"/>
                <w:sz w:val="24"/>
              </w:rPr>
              <w:tab/>
            </w:r>
            <w:r>
              <w:rPr>
                <w:rFonts w:hint="eastAsia" w:ascii="仿宋_GB2312" w:eastAsia="仿宋_GB2312"/>
                <w:sz w:val="24"/>
              </w:rPr>
              <w:t>龄</w:t>
            </w:r>
          </w:p>
        </w:tc>
        <w:tc>
          <w:tcPr>
            <w:tcW w:w="1508" w:type="dxa"/>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82" w:type="dxa"/>
            <w:noWrap/>
          </w:tcPr>
          <w:p>
            <w:pPr>
              <w:pStyle w:val="22"/>
              <w:tabs>
                <w:tab w:val="left" w:pos="594"/>
              </w:tabs>
              <w:spacing w:before="38"/>
              <w:ind w:right="295"/>
              <w:jc w:val="right"/>
              <w:rPr>
                <w:rFonts w:ascii="仿宋_GB2312" w:eastAsia="仿宋_GB2312"/>
                <w:sz w:val="24"/>
              </w:rPr>
            </w:pPr>
            <w:r>
              <w:rPr>
                <w:rFonts w:hint="eastAsia" w:ascii="仿宋_GB2312" w:eastAsia="仿宋_GB2312"/>
                <w:sz w:val="24"/>
              </w:rPr>
              <w:t>民</w:t>
            </w:r>
            <w:r>
              <w:rPr>
                <w:rFonts w:hint="eastAsia" w:ascii="仿宋_GB2312" w:eastAsia="仿宋_GB2312"/>
                <w:sz w:val="24"/>
              </w:rPr>
              <w:tab/>
            </w:r>
            <w:r>
              <w:rPr>
                <w:rFonts w:hint="eastAsia" w:ascii="仿宋_GB2312" w:eastAsia="仿宋_GB2312"/>
                <w:sz w:val="24"/>
              </w:rPr>
              <w:t>族</w:t>
            </w:r>
          </w:p>
        </w:tc>
        <w:tc>
          <w:tcPr>
            <w:tcW w:w="999" w:type="dxa"/>
            <w:noWrap/>
          </w:tcPr>
          <w:p>
            <w:pPr>
              <w:pStyle w:val="22"/>
              <w:rPr>
                <w:rFonts w:ascii="仿宋_GB2312" w:eastAsia="仿宋_GB2312"/>
                <w:sz w:val="24"/>
              </w:rPr>
            </w:pPr>
          </w:p>
        </w:tc>
        <w:tc>
          <w:tcPr>
            <w:tcW w:w="1255" w:type="dxa"/>
            <w:gridSpan w:val="2"/>
            <w:noWrap/>
          </w:tcPr>
          <w:p>
            <w:pPr>
              <w:pStyle w:val="22"/>
              <w:spacing w:before="38"/>
              <w:ind w:left="139"/>
              <w:rPr>
                <w:rFonts w:ascii="仿宋_GB2312" w:eastAsia="仿宋_GB2312"/>
                <w:sz w:val="24"/>
              </w:rPr>
            </w:pPr>
            <w:r>
              <w:rPr>
                <w:rFonts w:hint="eastAsia" w:ascii="仿宋_GB2312" w:eastAsia="仿宋_GB2312"/>
                <w:sz w:val="24"/>
              </w:rPr>
              <w:t>身份证号</w:t>
            </w:r>
          </w:p>
        </w:tc>
        <w:tc>
          <w:tcPr>
            <w:tcW w:w="5024" w:type="dxa"/>
            <w:gridSpan w:val="5"/>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482" w:type="dxa"/>
            <w:noWrap/>
          </w:tcPr>
          <w:p>
            <w:pPr>
              <w:pStyle w:val="22"/>
              <w:spacing w:before="43"/>
              <w:ind w:right="234"/>
              <w:jc w:val="center"/>
              <w:rPr>
                <w:rFonts w:ascii="仿宋_GB2312" w:eastAsia="仿宋_GB2312"/>
                <w:sz w:val="24"/>
              </w:rPr>
            </w:pPr>
            <w:r>
              <w:rPr>
                <w:rFonts w:hint="eastAsia" w:ascii="仿宋_GB2312" w:eastAsia="仿宋_GB2312"/>
                <w:sz w:val="24"/>
              </w:rPr>
              <w:t>所在单位</w:t>
            </w:r>
          </w:p>
        </w:tc>
        <w:tc>
          <w:tcPr>
            <w:tcW w:w="7278" w:type="dxa"/>
            <w:gridSpan w:val="8"/>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hRule="atLeast"/>
        </w:trPr>
        <w:tc>
          <w:tcPr>
            <w:tcW w:w="1482" w:type="dxa"/>
            <w:noWrap/>
          </w:tcPr>
          <w:p>
            <w:pPr>
              <w:pStyle w:val="22"/>
              <w:spacing w:before="43"/>
              <w:ind w:right="234"/>
              <w:jc w:val="center"/>
              <w:rPr>
                <w:rFonts w:ascii="仿宋_GB2312" w:eastAsia="仿宋_GB2312"/>
                <w:sz w:val="24"/>
              </w:rPr>
            </w:pPr>
            <w:r>
              <w:rPr>
                <w:rFonts w:hint="eastAsia" w:ascii="仿宋_GB2312" w:eastAsia="仿宋_GB2312"/>
                <w:sz w:val="24"/>
              </w:rPr>
              <w:t>联系地址</w:t>
            </w:r>
          </w:p>
        </w:tc>
        <w:tc>
          <w:tcPr>
            <w:tcW w:w="7278" w:type="dxa"/>
            <w:gridSpan w:val="8"/>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482" w:type="dxa"/>
            <w:noWrap/>
          </w:tcPr>
          <w:p>
            <w:pPr>
              <w:pStyle w:val="22"/>
              <w:tabs>
                <w:tab w:val="left" w:pos="594"/>
              </w:tabs>
              <w:spacing w:before="53"/>
              <w:ind w:right="295"/>
              <w:jc w:val="center"/>
              <w:rPr>
                <w:rFonts w:ascii="仿宋_GB2312" w:eastAsia="仿宋_GB2312"/>
                <w:sz w:val="24"/>
              </w:rPr>
            </w:pPr>
            <w:r>
              <w:rPr>
                <w:rFonts w:hint="eastAsia" w:ascii="仿宋_GB2312" w:eastAsia="仿宋_GB2312"/>
                <w:sz w:val="24"/>
              </w:rPr>
              <w:t>邮</w:t>
            </w:r>
            <w:r>
              <w:rPr>
                <w:rFonts w:hint="eastAsia" w:ascii="仿宋_GB2312" w:eastAsia="仿宋_GB2312"/>
                <w:sz w:val="24"/>
              </w:rPr>
              <w:tab/>
            </w:r>
            <w:r>
              <w:rPr>
                <w:rFonts w:hint="eastAsia" w:ascii="仿宋_GB2312" w:eastAsia="仿宋_GB2312"/>
                <w:sz w:val="24"/>
              </w:rPr>
              <w:t>编</w:t>
            </w:r>
          </w:p>
        </w:tc>
        <w:tc>
          <w:tcPr>
            <w:tcW w:w="1483" w:type="dxa"/>
            <w:gridSpan w:val="2"/>
            <w:noWrap/>
          </w:tcPr>
          <w:p>
            <w:pPr>
              <w:pStyle w:val="22"/>
              <w:rPr>
                <w:rFonts w:ascii="仿宋_GB2312" w:eastAsia="仿宋_GB2312"/>
                <w:sz w:val="24"/>
              </w:rPr>
            </w:pPr>
          </w:p>
        </w:tc>
        <w:tc>
          <w:tcPr>
            <w:tcW w:w="1271" w:type="dxa"/>
            <w:gridSpan w:val="2"/>
            <w:noWrap/>
          </w:tcPr>
          <w:p>
            <w:pPr>
              <w:pStyle w:val="22"/>
              <w:tabs>
                <w:tab w:val="left" w:pos="798"/>
              </w:tabs>
              <w:spacing w:before="53"/>
              <w:ind w:left="203"/>
              <w:rPr>
                <w:rFonts w:ascii="仿宋_GB2312" w:eastAsia="仿宋_GB2312"/>
                <w:sz w:val="24"/>
              </w:rPr>
            </w:pPr>
            <w:r>
              <w:rPr>
                <w:rFonts w:hint="eastAsia" w:ascii="仿宋_GB2312" w:eastAsia="仿宋_GB2312"/>
                <w:sz w:val="24"/>
              </w:rPr>
              <w:t>电</w:t>
            </w:r>
            <w:r>
              <w:rPr>
                <w:rFonts w:hint="eastAsia" w:ascii="仿宋_GB2312" w:eastAsia="仿宋_GB2312"/>
                <w:sz w:val="24"/>
              </w:rPr>
              <w:tab/>
            </w:r>
            <w:r>
              <w:rPr>
                <w:rFonts w:hint="eastAsia" w:ascii="仿宋_GB2312" w:eastAsia="仿宋_GB2312"/>
                <w:sz w:val="24"/>
              </w:rPr>
              <w:t>话</w:t>
            </w:r>
          </w:p>
        </w:tc>
        <w:tc>
          <w:tcPr>
            <w:tcW w:w="4524" w:type="dxa"/>
            <w:gridSpan w:val="4"/>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482" w:type="dxa"/>
            <w:vMerge w:val="restart"/>
            <w:noWrap/>
          </w:tcPr>
          <w:p>
            <w:pPr>
              <w:pStyle w:val="22"/>
              <w:rPr>
                <w:rFonts w:ascii="仿宋_GB2312" w:eastAsia="仿宋_GB2312"/>
                <w:sz w:val="32"/>
              </w:rPr>
            </w:pPr>
          </w:p>
          <w:p>
            <w:pPr>
              <w:pStyle w:val="22"/>
              <w:rPr>
                <w:rFonts w:ascii="仿宋_GB2312" w:eastAsia="仿宋_GB2312"/>
                <w:sz w:val="32"/>
              </w:rPr>
            </w:pPr>
          </w:p>
          <w:p>
            <w:pPr>
              <w:pStyle w:val="22"/>
              <w:rPr>
                <w:rFonts w:ascii="仿宋_GB2312" w:eastAsia="仿宋_GB2312"/>
              </w:rPr>
            </w:pPr>
          </w:p>
          <w:p>
            <w:pPr>
              <w:pStyle w:val="22"/>
              <w:spacing w:line="172" w:lineRule="auto"/>
              <w:ind w:left="490" w:right="192" w:hanging="235"/>
              <w:rPr>
                <w:rFonts w:ascii="仿宋_GB2312" w:eastAsia="仿宋_GB2312"/>
                <w:sz w:val="24"/>
              </w:rPr>
            </w:pPr>
            <w:r>
              <w:rPr>
                <w:rFonts w:hint="eastAsia" w:ascii="仿宋_GB2312" w:eastAsia="仿宋_GB2312"/>
                <w:sz w:val="24"/>
              </w:rPr>
              <w:t>获奖竞赛信息</w:t>
            </w:r>
          </w:p>
        </w:tc>
        <w:tc>
          <w:tcPr>
            <w:tcW w:w="1483" w:type="dxa"/>
            <w:gridSpan w:val="2"/>
            <w:noWrap/>
          </w:tcPr>
          <w:p>
            <w:pPr>
              <w:pStyle w:val="22"/>
              <w:spacing w:before="83"/>
              <w:ind w:left="489"/>
              <w:rPr>
                <w:rFonts w:ascii="仿宋_GB2312" w:eastAsia="仿宋_GB2312"/>
                <w:sz w:val="24"/>
              </w:rPr>
            </w:pPr>
            <w:r>
              <w:rPr>
                <w:rFonts w:hint="eastAsia" w:ascii="仿宋_GB2312" w:eastAsia="仿宋_GB2312"/>
                <w:sz w:val="24"/>
              </w:rPr>
              <w:t>名称</w:t>
            </w:r>
          </w:p>
        </w:tc>
        <w:tc>
          <w:tcPr>
            <w:tcW w:w="5795" w:type="dxa"/>
            <w:gridSpan w:val="6"/>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1482" w:type="dxa"/>
            <w:vMerge w:val="continue"/>
            <w:tcBorders>
              <w:top w:val="nil"/>
            </w:tcBorders>
            <w:noWrap/>
          </w:tcPr>
          <w:p>
            <w:pPr>
              <w:rPr>
                <w:rFonts w:ascii="仿宋_GB2312" w:eastAsia="仿宋_GB2312"/>
                <w:sz w:val="2"/>
                <w:szCs w:val="2"/>
              </w:rPr>
            </w:pPr>
          </w:p>
        </w:tc>
        <w:tc>
          <w:tcPr>
            <w:tcW w:w="1483" w:type="dxa"/>
            <w:gridSpan w:val="2"/>
            <w:noWrap/>
            <w:vAlign w:val="center"/>
          </w:tcPr>
          <w:p>
            <w:pPr>
              <w:pStyle w:val="22"/>
              <w:spacing w:before="189"/>
              <w:ind w:left="489"/>
              <w:rPr>
                <w:rFonts w:ascii="仿宋_GB2312" w:eastAsia="仿宋_GB2312"/>
                <w:sz w:val="24"/>
              </w:rPr>
            </w:pPr>
            <w:r>
              <w:rPr>
                <w:rFonts w:hint="eastAsia" w:ascii="仿宋_GB2312" w:eastAsia="仿宋_GB2312"/>
                <w:sz w:val="24"/>
              </w:rPr>
              <w:t>类别</w:t>
            </w:r>
          </w:p>
        </w:tc>
        <w:tc>
          <w:tcPr>
            <w:tcW w:w="5795" w:type="dxa"/>
            <w:gridSpan w:val="6"/>
            <w:noWrap/>
            <w:vAlign w:val="center"/>
          </w:tcPr>
          <w:p>
            <w:pPr>
              <w:pStyle w:val="22"/>
              <w:tabs>
                <w:tab w:val="left" w:pos="3519"/>
              </w:tabs>
              <w:spacing w:line="393" w:lineRule="exact"/>
              <w:rPr>
                <w:rFonts w:ascii="仿宋_GB2312" w:eastAsia="仿宋_GB2312"/>
                <w:sz w:val="24"/>
              </w:rPr>
            </w:pPr>
            <w:r>
              <w:rPr>
                <w:rFonts w:hint="eastAsia" w:ascii="仿宋_GB2312" w:eastAsia="仿宋_GB2312"/>
                <w:sz w:val="24"/>
              </w:rPr>
              <w:t>世界</w:t>
            </w:r>
            <w:r>
              <w:rPr>
                <w:rFonts w:hint="eastAsia" w:ascii="仿宋_GB2312" w:eastAsia="仿宋_GB2312"/>
                <w:spacing w:val="-6"/>
                <w:sz w:val="24"/>
              </w:rPr>
              <w:t>技</w:t>
            </w:r>
            <w:r>
              <w:rPr>
                <w:rFonts w:hint="eastAsia" w:ascii="仿宋_GB2312" w:eastAsia="仿宋_GB2312"/>
                <w:sz w:val="24"/>
              </w:rPr>
              <w:t>能</w:t>
            </w:r>
            <w:r>
              <w:rPr>
                <w:rFonts w:hint="eastAsia" w:ascii="仿宋_GB2312" w:eastAsia="仿宋_GB2312"/>
                <w:spacing w:val="-6"/>
                <w:sz w:val="24"/>
              </w:rPr>
              <w:t>大</w:t>
            </w:r>
            <w:r>
              <w:rPr>
                <w:rFonts w:hint="eastAsia" w:ascii="仿宋_GB2312" w:eastAsia="仿宋_GB2312"/>
                <w:sz w:val="24"/>
              </w:rPr>
              <w:t>赛</w:t>
            </w:r>
            <w:r>
              <w:rPr>
                <w:rFonts w:hint="eastAsia" w:ascii="仿宋_GB2312" w:hAnsi="Wingdings 2" w:eastAsia="仿宋_GB2312"/>
                <w:sz w:val="24"/>
              </w:rPr>
              <w:sym w:font="Wingdings 2" w:char="F0A3"/>
            </w:r>
            <w:r>
              <w:rPr>
                <w:rFonts w:hint="eastAsia" w:ascii="仿宋_GB2312" w:eastAsia="仿宋_GB2312"/>
                <w:sz w:val="24"/>
                <w:lang w:val="en-US"/>
              </w:rPr>
              <w:t xml:space="preserve">    中华人民共和国职业技能大赛</w:t>
            </w:r>
            <w:r>
              <w:rPr>
                <w:rFonts w:hint="eastAsia" w:ascii="仿宋_GB2312" w:hAnsi="Wingdings 2" w:eastAsia="仿宋_GB2312"/>
                <w:sz w:val="24"/>
                <w:lang w:val="en-US"/>
              </w:rPr>
              <w:sym w:font="Wingdings 2" w:char="F0A3"/>
            </w:r>
            <w:r>
              <w:rPr>
                <w:rFonts w:hint="eastAsia" w:ascii="仿宋_GB2312" w:eastAsia="仿宋_GB2312"/>
                <w:sz w:val="24"/>
              </w:rPr>
              <w:tab/>
            </w:r>
          </w:p>
          <w:p>
            <w:pPr>
              <w:pStyle w:val="22"/>
              <w:tabs>
                <w:tab w:val="left" w:pos="3519"/>
              </w:tabs>
              <w:spacing w:line="393" w:lineRule="exact"/>
              <w:rPr>
                <w:rFonts w:ascii="仿宋_GB2312" w:eastAsia="仿宋_GB2312"/>
                <w:sz w:val="24"/>
                <w:lang w:val="en-US"/>
              </w:rPr>
            </w:pPr>
            <w:r>
              <w:rPr>
                <w:rFonts w:hint="eastAsia" w:ascii="仿宋_GB2312" w:eastAsia="仿宋_GB2312"/>
                <w:sz w:val="24"/>
              </w:rPr>
              <w:t>全国职业院校技能大赛</w:t>
            </w:r>
            <w:r>
              <w:rPr>
                <w:rFonts w:hint="eastAsia" w:ascii="仿宋_GB2312" w:hAnsi="Wingdings 2" w:eastAsia="仿宋_GB2312"/>
                <w:sz w:val="24"/>
              </w:rPr>
              <w:sym w:font="Wingdings 2" w:char="F0A3"/>
            </w:r>
            <w:r>
              <w:rPr>
                <w:rFonts w:hint="eastAsia" w:ascii="仿宋_GB2312" w:eastAsia="仿宋_GB2312"/>
                <w:sz w:val="24"/>
                <w:lang w:val="en-US"/>
              </w:rPr>
              <w:t xml:space="preserve"> </w:t>
            </w:r>
            <w:r>
              <w:rPr>
                <w:rFonts w:hint="eastAsia" w:ascii="仿宋_GB2312" w:eastAsia="仿宋_GB2312"/>
                <w:sz w:val="24"/>
              </w:rPr>
              <w:t>　　其它国家级一类赛</w:t>
            </w:r>
            <w:r>
              <w:rPr>
                <w:rFonts w:hint="eastAsia" w:ascii="仿宋_GB2312" w:hAnsi="Wingdings 2" w:eastAsia="仿宋_GB2312"/>
                <w:sz w:val="24"/>
              </w:rPr>
              <w:sym w:font="Wingdings 2" w:char="F0A3"/>
            </w:r>
            <w:r>
              <w:rPr>
                <w:rFonts w:hint="eastAsia" w:ascii="仿宋_GB2312" w:eastAsia="仿宋_GB2312"/>
                <w:sz w:val="24"/>
                <w:lang w:val="en-US"/>
              </w:rPr>
              <w:t xml:space="preserve">  </w:t>
            </w:r>
          </w:p>
          <w:p>
            <w:pPr>
              <w:pStyle w:val="22"/>
              <w:tabs>
                <w:tab w:val="left" w:pos="3519"/>
              </w:tabs>
              <w:spacing w:line="393" w:lineRule="exact"/>
              <w:rPr>
                <w:rFonts w:ascii="仿宋_GB2312" w:eastAsia="仿宋_GB2312"/>
                <w:sz w:val="24"/>
              </w:rPr>
            </w:pPr>
            <w:r>
              <w:rPr>
                <w:rFonts w:hint="eastAsia" w:ascii="仿宋_GB2312" w:eastAsia="仿宋_GB2312"/>
                <w:sz w:val="24"/>
                <w:lang w:val="en-US"/>
              </w:rPr>
              <w:t>福建省级一类</w:t>
            </w:r>
            <w:r>
              <w:rPr>
                <w:rFonts w:hint="eastAsia" w:ascii="仿宋_GB2312" w:eastAsia="仿宋_GB2312"/>
                <w:sz w:val="24"/>
              </w:rPr>
              <w:t>赛</w:t>
            </w:r>
            <w:r>
              <w:rPr>
                <w:rFonts w:hint="eastAsia" w:ascii="仿宋_GB2312" w:hAnsi="Wingdings 2" w:eastAsia="仿宋_GB2312"/>
                <w:sz w:val="24"/>
              </w:rPr>
              <w:sym w:font="Wingdings 2" w:char="F0A3"/>
            </w:r>
            <w:r>
              <w:rPr>
                <w:rFonts w:hint="eastAsia" w:ascii="仿宋_GB2312" w:hAnsi="Wingdings 2" w:eastAsia="仿宋_GB2312"/>
                <w:sz w:val="24"/>
              </w:rPr>
              <w:t>　　</w:t>
            </w:r>
            <w:r>
              <w:rPr>
                <w:rFonts w:hint="eastAsia" w:ascii="仿宋_GB2312" w:eastAsia="仿宋_GB2312"/>
                <w:sz w:val="24"/>
              </w:rPr>
              <w:t>福州市级一类赛</w:t>
            </w:r>
            <w:r>
              <w:rPr>
                <w:rFonts w:hint="eastAsia" w:ascii="仿宋_GB2312" w:hAnsi="Wingdings 2" w:eastAsia="仿宋_GB2312"/>
                <w:sz w:val="24"/>
              </w:rPr>
              <w:sym w:font="Wingdings 2" w:char="F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58" w:hRule="atLeast"/>
        </w:trPr>
        <w:tc>
          <w:tcPr>
            <w:tcW w:w="1482" w:type="dxa"/>
            <w:vMerge w:val="continue"/>
            <w:tcBorders>
              <w:top w:val="nil"/>
            </w:tcBorders>
            <w:noWrap/>
          </w:tcPr>
          <w:p>
            <w:pPr>
              <w:rPr>
                <w:rFonts w:ascii="仿宋_GB2312" w:eastAsia="仿宋_GB2312"/>
                <w:sz w:val="2"/>
                <w:szCs w:val="2"/>
              </w:rPr>
            </w:pPr>
          </w:p>
        </w:tc>
        <w:tc>
          <w:tcPr>
            <w:tcW w:w="1483" w:type="dxa"/>
            <w:gridSpan w:val="2"/>
            <w:noWrap/>
          </w:tcPr>
          <w:p>
            <w:pPr>
              <w:pStyle w:val="22"/>
              <w:spacing w:before="83"/>
              <w:ind w:left="129"/>
              <w:jc w:val="center"/>
              <w:rPr>
                <w:rFonts w:ascii="仿宋_GB2312" w:eastAsia="仿宋_GB2312"/>
                <w:sz w:val="24"/>
              </w:rPr>
            </w:pPr>
            <w:r>
              <w:rPr>
                <w:rFonts w:hint="eastAsia" w:ascii="仿宋_GB2312" w:eastAsia="仿宋_GB2312"/>
                <w:sz w:val="24"/>
              </w:rPr>
              <w:t>奖项及名次</w:t>
            </w:r>
          </w:p>
        </w:tc>
        <w:tc>
          <w:tcPr>
            <w:tcW w:w="5795" w:type="dxa"/>
            <w:gridSpan w:val="6"/>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4" w:hRule="atLeast"/>
        </w:trPr>
        <w:tc>
          <w:tcPr>
            <w:tcW w:w="1482" w:type="dxa"/>
            <w:vMerge w:val="continue"/>
            <w:tcBorders>
              <w:top w:val="nil"/>
            </w:tcBorders>
            <w:noWrap/>
          </w:tcPr>
          <w:p>
            <w:pPr>
              <w:rPr>
                <w:rFonts w:ascii="仿宋_GB2312" w:eastAsia="仿宋_GB2312"/>
                <w:sz w:val="2"/>
                <w:szCs w:val="2"/>
              </w:rPr>
            </w:pPr>
          </w:p>
        </w:tc>
        <w:tc>
          <w:tcPr>
            <w:tcW w:w="1483" w:type="dxa"/>
            <w:gridSpan w:val="2"/>
            <w:noWrap/>
            <w:vAlign w:val="center"/>
          </w:tcPr>
          <w:p>
            <w:pPr>
              <w:pStyle w:val="22"/>
              <w:ind w:left="249"/>
              <w:rPr>
                <w:rFonts w:ascii="仿宋_GB2312" w:eastAsia="仿宋_GB2312"/>
                <w:sz w:val="24"/>
              </w:rPr>
            </w:pPr>
            <w:r>
              <w:rPr>
                <w:rFonts w:hint="eastAsia" w:ascii="仿宋_GB2312" w:eastAsia="仿宋_GB2312"/>
                <w:sz w:val="24"/>
              </w:rPr>
              <w:t>获奖文件</w:t>
            </w:r>
          </w:p>
        </w:tc>
        <w:tc>
          <w:tcPr>
            <w:tcW w:w="5795" w:type="dxa"/>
            <w:gridSpan w:val="6"/>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482" w:type="dxa"/>
            <w:noWrap/>
          </w:tcPr>
          <w:p>
            <w:pPr>
              <w:pStyle w:val="22"/>
              <w:spacing w:line="320" w:lineRule="exact"/>
              <w:ind w:left="232" w:right="214"/>
              <w:jc w:val="center"/>
              <w:rPr>
                <w:rFonts w:ascii="仿宋_GB2312" w:eastAsia="仿宋_GB2312"/>
                <w:sz w:val="24"/>
              </w:rPr>
            </w:pPr>
            <w:r>
              <w:rPr>
                <w:rFonts w:hint="eastAsia" w:ascii="仿宋_GB2312" w:eastAsia="仿宋_GB2312"/>
                <w:sz w:val="24"/>
              </w:rPr>
              <w:t>个人银行</w:t>
            </w:r>
          </w:p>
          <w:p>
            <w:pPr>
              <w:pStyle w:val="22"/>
              <w:spacing w:line="301" w:lineRule="exact"/>
              <w:ind w:left="228" w:right="214"/>
              <w:jc w:val="center"/>
              <w:rPr>
                <w:rFonts w:ascii="仿宋_GB2312" w:eastAsia="仿宋_GB2312"/>
                <w:sz w:val="24"/>
              </w:rPr>
            </w:pPr>
            <w:r>
              <w:rPr>
                <w:rFonts w:hint="eastAsia" w:ascii="仿宋_GB2312" w:eastAsia="仿宋_GB2312"/>
                <w:sz w:val="24"/>
              </w:rPr>
              <w:t>账号</w:t>
            </w:r>
          </w:p>
        </w:tc>
        <w:tc>
          <w:tcPr>
            <w:tcW w:w="7278" w:type="dxa"/>
            <w:gridSpan w:val="8"/>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482" w:type="dxa"/>
            <w:noWrap/>
          </w:tcPr>
          <w:p>
            <w:pPr>
              <w:pStyle w:val="22"/>
              <w:spacing w:before="83"/>
              <w:ind w:left="370"/>
              <w:rPr>
                <w:rFonts w:ascii="仿宋_GB2312" w:eastAsia="仿宋_GB2312"/>
                <w:sz w:val="24"/>
              </w:rPr>
            </w:pPr>
            <w:r>
              <w:rPr>
                <w:rFonts w:hint="eastAsia" w:ascii="仿宋_GB2312" w:eastAsia="仿宋_GB2312"/>
                <w:sz w:val="24"/>
              </w:rPr>
              <w:t>开户行</w:t>
            </w:r>
          </w:p>
        </w:tc>
        <w:tc>
          <w:tcPr>
            <w:tcW w:w="7278" w:type="dxa"/>
            <w:gridSpan w:val="8"/>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13" w:hRule="atLeast"/>
        </w:trPr>
        <w:tc>
          <w:tcPr>
            <w:tcW w:w="1482" w:type="dxa"/>
            <w:noWrap/>
          </w:tcPr>
          <w:p>
            <w:pPr>
              <w:pStyle w:val="22"/>
              <w:spacing w:line="225" w:lineRule="auto"/>
              <w:ind w:right="192"/>
              <w:jc w:val="center"/>
              <w:rPr>
                <w:rFonts w:ascii="仿宋_GB2312" w:eastAsia="仿宋_GB2312"/>
                <w:sz w:val="24"/>
              </w:rPr>
            </w:pPr>
            <w:r>
              <w:rPr>
                <w:rFonts w:hint="eastAsia" w:ascii="仿宋_GB2312" w:eastAsia="仿宋_GB2312"/>
                <w:sz w:val="24"/>
              </w:rPr>
              <w:t>所在单位</w:t>
            </w:r>
          </w:p>
          <w:p>
            <w:pPr>
              <w:pStyle w:val="22"/>
              <w:spacing w:line="225" w:lineRule="auto"/>
              <w:ind w:right="192"/>
              <w:jc w:val="center"/>
              <w:rPr>
                <w:rFonts w:ascii="仿宋_GB2312" w:eastAsia="仿宋_GB2312"/>
                <w:sz w:val="24"/>
              </w:rPr>
            </w:pPr>
            <w:r>
              <w:rPr>
                <w:rFonts w:hint="eastAsia" w:ascii="仿宋_GB2312" w:eastAsia="仿宋_GB2312"/>
                <w:sz w:val="24"/>
              </w:rPr>
              <w:t>意见</w:t>
            </w:r>
          </w:p>
        </w:tc>
        <w:tc>
          <w:tcPr>
            <w:tcW w:w="7278" w:type="dxa"/>
            <w:gridSpan w:val="8"/>
            <w:noWrap/>
          </w:tcPr>
          <w:p>
            <w:pPr>
              <w:pStyle w:val="22"/>
              <w:rPr>
                <w:rFonts w:ascii="仿宋_GB2312" w:eastAsia="仿宋_GB2312"/>
                <w:sz w:val="24"/>
              </w:rPr>
            </w:pPr>
          </w:p>
        </w:tc>
      </w:tr>
    </w:tbl>
    <w:p>
      <w:pPr>
        <w:rPr>
          <w:rFonts w:ascii="黑体" w:hAnsi="仿宋" w:eastAsia="黑体"/>
          <w:sz w:val="32"/>
          <w:szCs w:val="32"/>
        </w:rPr>
      </w:pPr>
      <w:r>
        <w:rPr>
          <w:sz w:val="32"/>
          <w:szCs w:val="32"/>
        </w:rPr>
        <w:br w:type="page"/>
      </w:r>
      <w:r>
        <w:rPr>
          <w:rFonts w:hint="eastAsia" w:ascii="黑体" w:hAnsi="仿宋" w:eastAsia="黑体"/>
          <w:sz w:val="32"/>
          <w:szCs w:val="32"/>
        </w:rPr>
        <w:t>附件</w:t>
      </w:r>
      <w:r>
        <w:rPr>
          <w:rFonts w:ascii="黑体" w:hAnsi="仿宋" w:eastAsia="黑体"/>
          <w:sz w:val="32"/>
          <w:szCs w:val="32"/>
        </w:rPr>
        <w:t>6</w:t>
      </w:r>
    </w:p>
    <w:p>
      <w:pPr>
        <w:spacing w:beforeLines="100" w:line="4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福州市职业技能竞赛参赛选手补助申请表</w:t>
      </w:r>
    </w:p>
    <w:tbl>
      <w:tblPr>
        <w:tblStyle w:val="9"/>
        <w:tblpPr w:leftFromText="180" w:rightFromText="180" w:vertAnchor="page" w:horzAnchor="page" w:tblpX="1479" w:tblpY="3310"/>
        <w:tblOverlap w:val="never"/>
        <w:tblW w:w="87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2"/>
        <w:gridCol w:w="999"/>
        <w:gridCol w:w="484"/>
        <w:gridCol w:w="771"/>
        <w:gridCol w:w="500"/>
        <w:gridCol w:w="269"/>
        <w:gridCol w:w="409"/>
        <w:gridCol w:w="1268"/>
        <w:gridCol w:w="1070"/>
        <w:gridCol w:w="1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1482" w:type="dxa"/>
            <w:noWrap/>
          </w:tcPr>
          <w:p>
            <w:pPr>
              <w:pStyle w:val="22"/>
              <w:tabs>
                <w:tab w:val="left" w:pos="849"/>
              </w:tabs>
              <w:spacing w:before="258"/>
              <w:jc w:val="center"/>
              <w:rPr>
                <w:rFonts w:ascii="仿宋_GB2312" w:eastAsia="仿宋_GB2312"/>
                <w:sz w:val="24"/>
              </w:rPr>
            </w:pPr>
            <w:r>
              <w:rPr>
                <w:rFonts w:hint="eastAsia" w:ascii="仿宋_GB2312" w:eastAsia="仿宋_GB2312"/>
                <w:sz w:val="24"/>
              </w:rPr>
              <w:t>姓名</w:t>
            </w:r>
          </w:p>
        </w:tc>
        <w:tc>
          <w:tcPr>
            <w:tcW w:w="2254" w:type="dxa"/>
            <w:gridSpan w:val="3"/>
            <w:noWrap/>
          </w:tcPr>
          <w:p>
            <w:pPr>
              <w:pStyle w:val="22"/>
              <w:rPr>
                <w:rFonts w:ascii="仿宋_GB2312" w:eastAsia="仿宋_GB2312"/>
                <w:sz w:val="24"/>
              </w:rPr>
            </w:pPr>
          </w:p>
        </w:tc>
        <w:tc>
          <w:tcPr>
            <w:tcW w:w="1178" w:type="dxa"/>
            <w:gridSpan w:val="3"/>
            <w:noWrap/>
          </w:tcPr>
          <w:p>
            <w:pPr>
              <w:pStyle w:val="22"/>
              <w:tabs>
                <w:tab w:val="left" w:pos="756"/>
              </w:tabs>
              <w:spacing w:before="258"/>
              <w:ind w:left="161"/>
              <w:rPr>
                <w:rFonts w:ascii="仿宋_GB2312" w:eastAsia="仿宋_GB2312"/>
                <w:sz w:val="24"/>
              </w:rPr>
            </w:pPr>
            <w:r>
              <w:rPr>
                <w:rFonts w:hint="eastAsia" w:ascii="仿宋_GB2312" w:eastAsia="仿宋_GB2312"/>
                <w:sz w:val="24"/>
              </w:rPr>
              <w:t>性</w:t>
            </w:r>
            <w:r>
              <w:rPr>
                <w:rFonts w:hint="eastAsia" w:ascii="仿宋_GB2312" w:eastAsia="仿宋_GB2312"/>
                <w:sz w:val="24"/>
              </w:rPr>
              <w:tab/>
            </w:r>
            <w:r>
              <w:rPr>
                <w:rFonts w:hint="eastAsia" w:ascii="仿宋_GB2312" w:eastAsia="仿宋_GB2312"/>
                <w:sz w:val="24"/>
              </w:rPr>
              <w:t>别</w:t>
            </w:r>
          </w:p>
        </w:tc>
        <w:tc>
          <w:tcPr>
            <w:tcW w:w="1268" w:type="dxa"/>
            <w:noWrap/>
          </w:tcPr>
          <w:p>
            <w:pPr>
              <w:pStyle w:val="22"/>
              <w:rPr>
                <w:rFonts w:ascii="仿宋_GB2312" w:eastAsia="仿宋_GB2312"/>
                <w:sz w:val="24"/>
              </w:rPr>
            </w:pPr>
          </w:p>
        </w:tc>
        <w:tc>
          <w:tcPr>
            <w:tcW w:w="1070" w:type="dxa"/>
            <w:noWrap/>
          </w:tcPr>
          <w:p>
            <w:pPr>
              <w:pStyle w:val="22"/>
              <w:tabs>
                <w:tab w:val="left" w:pos="699"/>
              </w:tabs>
              <w:spacing w:before="258"/>
              <w:ind w:left="104"/>
              <w:rPr>
                <w:rFonts w:ascii="仿宋_GB2312" w:eastAsia="仿宋_GB2312"/>
                <w:sz w:val="24"/>
              </w:rPr>
            </w:pPr>
            <w:r>
              <w:rPr>
                <w:rFonts w:hint="eastAsia" w:ascii="仿宋_GB2312" w:eastAsia="仿宋_GB2312"/>
                <w:sz w:val="24"/>
              </w:rPr>
              <w:t>年</w:t>
            </w:r>
            <w:r>
              <w:rPr>
                <w:rFonts w:hint="eastAsia" w:ascii="仿宋_GB2312" w:eastAsia="仿宋_GB2312"/>
                <w:sz w:val="24"/>
              </w:rPr>
              <w:tab/>
            </w:r>
            <w:r>
              <w:rPr>
                <w:rFonts w:hint="eastAsia" w:ascii="仿宋_GB2312" w:eastAsia="仿宋_GB2312"/>
                <w:sz w:val="24"/>
              </w:rPr>
              <w:t>龄</w:t>
            </w:r>
          </w:p>
        </w:tc>
        <w:tc>
          <w:tcPr>
            <w:tcW w:w="1508" w:type="dxa"/>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482" w:type="dxa"/>
            <w:noWrap/>
            <w:vAlign w:val="center"/>
          </w:tcPr>
          <w:p>
            <w:pPr>
              <w:pStyle w:val="22"/>
              <w:tabs>
                <w:tab w:val="left" w:pos="594"/>
              </w:tabs>
              <w:spacing w:before="38"/>
              <w:ind w:right="295" w:firstLine="240" w:firstLineChars="100"/>
              <w:rPr>
                <w:rFonts w:ascii="仿宋_GB2312" w:eastAsia="仿宋_GB2312"/>
                <w:sz w:val="24"/>
              </w:rPr>
            </w:pPr>
            <w:r>
              <w:rPr>
                <w:rFonts w:hint="eastAsia" w:ascii="仿宋_GB2312" w:eastAsia="仿宋_GB2312"/>
                <w:sz w:val="24"/>
              </w:rPr>
              <w:t>民族</w:t>
            </w:r>
          </w:p>
        </w:tc>
        <w:tc>
          <w:tcPr>
            <w:tcW w:w="999" w:type="dxa"/>
            <w:noWrap/>
          </w:tcPr>
          <w:p>
            <w:pPr>
              <w:pStyle w:val="22"/>
              <w:rPr>
                <w:rFonts w:ascii="仿宋_GB2312" w:eastAsia="仿宋_GB2312"/>
                <w:sz w:val="24"/>
              </w:rPr>
            </w:pPr>
          </w:p>
        </w:tc>
        <w:tc>
          <w:tcPr>
            <w:tcW w:w="1255" w:type="dxa"/>
            <w:gridSpan w:val="2"/>
            <w:noWrap/>
          </w:tcPr>
          <w:p>
            <w:pPr>
              <w:pStyle w:val="22"/>
              <w:spacing w:before="38"/>
              <w:ind w:left="139"/>
              <w:rPr>
                <w:rFonts w:ascii="仿宋_GB2312" w:eastAsia="仿宋_GB2312"/>
                <w:sz w:val="24"/>
              </w:rPr>
            </w:pPr>
            <w:r>
              <w:rPr>
                <w:rFonts w:hint="eastAsia" w:ascii="仿宋_GB2312" w:eastAsia="仿宋_GB2312"/>
                <w:sz w:val="24"/>
              </w:rPr>
              <w:t>身份证号</w:t>
            </w:r>
          </w:p>
        </w:tc>
        <w:tc>
          <w:tcPr>
            <w:tcW w:w="5024" w:type="dxa"/>
            <w:gridSpan w:val="6"/>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482" w:type="dxa"/>
            <w:noWrap/>
            <w:vAlign w:val="center"/>
          </w:tcPr>
          <w:p>
            <w:pPr>
              <w:pStyle w:val="22"/>
              <w:spacing w:before="43"/>
              <w:ind w:right="234"/>
              <w:jc w:val="center"/>
              <w:rPr>
                <w:rFonts w:ascii="仿宋_GB2312" w:eastAsia="仿宋_GB2312"/>
                <w:sz w:val="24"/>
              </w:rPr>
            </w:pPr>
            <w:r>
              <w:rPr>
                <w:rFonts w:hint="eastAsia" w:ascii="仿宋_GB2312" w:eastAsia="仿宋_GB2312"/>
                <w:sz w:val="24"/>
              </w:rPr>
              <w:t>所在单位</w:t>
            </w:r>
          </w:p>
        </w:tc>
        <w:tc>
          <w:tcPr>
            <w:tcW w:w="7278" w:type="dxa"/>
            <w:gridSpan w:val="9"/>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1482" w:type="dxa"/>
            <w:noWrap/>
            <w:vAlign w:val="center"/>
          </w:tcPr>
          <w:p>
            <w:pPr>
              <w:pStyle w:val="22"/>
              <w:spacing w:before="43"/>
              <w:ind w:right="234"/>
              <w:jc w:val="center"/>
              <w:rPr>
                <w:rFonts w:ascii="仿宋_GB2312" w:eastAsia="仿宋_GB2312"/>
                <w:sz w:val="24"/>
              </w:rPr>
            </w:pPr>
            <w:r>
              <w:rPr>
                <w:rFonts w:hint="eastAsia" w:ascii="仿宋_GB2312" w:eastAsia="仿宋_GB2312"/>
                <w:sz w:val="24"/>
              </w:rPr>
              <w:t>联系地址</w:t>
            </w:r>
          </w:p>
        </w:tc>
        <w:tc>
          <w:tcPr>
            <w:tcW w:w="7278" w:type="dxa"/>
            <w:gridSpan w:val="9"/>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1482" w:type="dxa"/>
            <w:noWrap/>
            <w:vAlign w:val="center"/>
          </w:tcPr>
          <w:p>
            <w:pPr>
              <w:pStyle w:val="22"/>
              <w:tabs>
                <w:tab w:val="left" w:pos="594"/>
              </w:tabs>
              <w:spacing w:before="53"/>
              <w:ind w:right="295"/>
              <w:jc w:val="center"/>
              <w:rPr>
                <w:rFonts w:ascii="仿宋_GB2312" w:eastAsia="仿宋_GB2312"/>
                <w:sz w:val="24"/>
              </w:rPr>
            </w:pPr>
            <w:r>
              <w:rPr>
                <w:rFonts w:hint="eastAsia" w:ascii="仿宋_GB2312" w:eastAsia="仿宋_GB2312"/>
                <w:sz w:val="24"/>
              </w:rPr>
              <w:t>邮编</w:t>
            </w:r>
          </w:p>
        </w:tc>
        <w:tc>
          <w:tcPr>
            <w:tcW w:w="1483" w:type="dxa"/>
            <w:gridSpan w:val="2"/>
            <w:noWrap/>
          </w:tcPr>
          <w:p>
            <w:pPr>
              <w:pStyle w:val="22"/>
              <w:rPr>
                <w:rFonts w:ascii="仿宋_GB2312" w:eastAsia="仿宋_GB2312"/>
                <w:sz w:val="24"/>
              </w:rPr>
            </w:pPr>
          </w:p>
        </w:tc>
        <w:tc>
          <w:tcPr>
            <w:tcW w:w="1271" w:type="dxa"/>
            <w:gridSpan w:val="2"/>
            <w:noWrap/>
          </w:tcPr>
          <w:p>
            <w:pPr>
              <w:pStyle w:val="22"/>
              <w:tabs>
                <w:tab w:val="left" w:pos="798"/>
              </w:tabs>
              <w:spacing w:before="53"/>
              <w:ind w:left="203"/>
              <w:rPr>
                <w:rFonts w:ascii="仿宋_GB2312" w:eastAsia="仿宋_GB2312"/>
                <w:sz w:val="24"/>
              </w:rPr>
            </w:pPr>
            <w:r>
              <w:rPr>
                <w:rFonts w:hint="eastAsia" w:ascii="仿宋_GB2312" w:eastAsia="仿宋_GB2312"/>
                <w:sz w:val="24"/>
              </w:rPr>
              <w:t>电</w:t>
            </w:r>
            <w:r>
              <w:rPr>
                <w:rFonts w:hint="eastAsia" w:ascii="仿宋_GB2312" w:eastAsia="仿宋_GB2312"/>
                <w:sz w:val="24"/>
              </w:rPr>
              <w:tab/>
            </w:r>
            <w:r>
              <w:rPr>
                <w:rFonts w:hint="eastAsia" w:ascii="仿宋_GB2312" w:eastAsia="仿宋_GB2312"/>
                <w:sz w:val="24"/>
              </w:rPr>
              <w:t>话</w:t>
            </w:r>
          </w:p>
        </w:tc>
        <w:tc>
          <w:tcPr>
            <w:tcW w:w="4524" w:type="dxa"/>
            <w:gridSpan w:val="5"/>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482" w:type="dxa"/>
            <w:vMerge w:val="restart"/>
            <w:noWrap/>
          </w:tcPr>
          <w:p>
            <w:pPr>
              <w:pStyle w:val="22"/>
              <w:rPr>
                <w:rFonts w:ascii="仿宋_GB2312" w:eastAsia="仿宋_GB2312"/>
                <w:sz w:val="32"/>
              </w:rPr>
            </w:pPr>
          </w:p>
          <w:p>
            <w:pPr>
              <w:pStyle w:val="22"/>
              <w:rPr>
                <w:rFonts w:ascii="仿宋_GB2312" w:eastAsia="仿宋_GB2312"/>
                <w:sz w:val="32"/>
              </w:rPr>
            </w:pPr>
          </w:p>
          <w:p>
            <w:pPr>
              <w:pStyle w:val="22"/>
              <w:rPr>
                <w:rFonts w:ascii="仿宋_GB2312" w:eastAsia="仿宋_GB2312"/>
              </w:rPr>
            </w:pPr>
          </w:p>
          <w:p>
            <w:pPr>
              <w:pStyle w:val="22"/>
              <w:spacing w:line="172" w:lineRule="auto"/>
              <w:ind w:left="490" w:right="192" w:hanging="235"/>
              <w:rPr>
                <w:rFonts w:ascii="仿宋_GB2312" w:eastAsia="仿宋_GB2312"/>
                <w:sz w:val="24"/>
              </w:rPr>
            </w:pPr>
            <w:r>
              <w:rPr>
                <w:rFonts w:hint="eastAsia" w:ascii="仿宋_GB2312" w:eastAsia="仿宋_GB2312"/>
                <w:sz w:val="24"/>
              </w:rPr>
              <w:t>竞赛信息</w:t>
            </w:r>
          </w:p>
        </w:tc>
        <w:tc>
          <w:tcPr>
            <w:tcW w:w="1483" w:type="dxa"/>
            <w:gridSpan w:val="2"/>
            <w:noWrap/>
          </w:tcPr>
          <w:p>
            <w:pPr>
              <w:pStyle w:val="22"/>
              <w:spacing w:before="83"/>
              <w:jc w:val="center"/>
              <w:rPr>
                <w:rFonts w:ascii="仿宋_GB2312" w:eastAsia="仿宋_GB2312"/>
                <w:sz w:val="24"/>
              </w:rPr>
            </w:pPr>
            <w:r>
              <w:rPr>
                <w:rFonts w:hint="eastAsia" w:ascii="仿宋_GB2312" w:eastAsia="仿宋_GB2312"/>
                <w:sz w:val="24"/>
              </w:rPr>
              <w:t>赛事名称</w:t>
            </w:r>
          </w:p>
        </w:tc>
        <w:tc>
          <w:tcPr>
            <w:tcW w:w="5795" w:type="dxa"/>
            <w:gridSpan w:val="7"/>
            <w:noWrap/>
            <w:vAlign w:val="center"/>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1482" w:type="dxa"/>
            <w:vMerge w:val="continue"/>
            <w:tcBorders>
              <w:top w:val="nil"/>
            </w:tcBorders>
            <w:noWrap/>
          </w:tcPr>
          <w:p>
            <w:pPr>
              <w:rPr>
                <w:rFonts w:ascii="仿宋_GB2312" w:eastAsia="仿宋_GB2312"/>
                <w:sz w:val="2"/>
                <w:szCs w:val="2"/>
              </w:rPr>
            </w:pPr>
          </w:p>
        </w:tc>
        <w:tc>
          <w:tcPr>
            <w:tcW w:w="1483" w:type="dxa"/>
            <w:gridSpan w:val="2"/>
            <w:noWrap/>
          </w:tcPr>
          <w:p>
            <w:pPr>
              <w:pStyle w:val="22"/>
              <w:spacing w:before="189"/>
              <w:jc w:val="center"/>
              <w:rPr>
                <w:rFonts w:ascii="仿宋_GB2312" w:eastAsia="仿宋_GB2312"/>
                <w:sz w:val="24"/>
              </w:rPr>
            </w:pPr>
            <w:r>
              <w:rPr>
                <w:rFonts w:hint="eastAsia" w:ascii="仿宋_GB2312" w:eastAsia="仿宋_GB2312"/>
                <w:sz w:val="24"/>
              </w:rPr>
              <w:t>参赛项目</w:t>
            </w:r>
          </w:p>
        </w:tc>
        <w:tc>
          <w:tcPr>
            <w:tcW w:w="5795" w:type="dxa"/>
            <w:gridSpan w:val="7"/>
            <w:noWrap/>
            <w:vAlign w:val="center"/>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482" w:type="dxa"/>
            <w:vMerge w:val="continue"/>
            <w:tcBorders>
              <w:top w:val="nil"/>
            </w:tcBorders>
            <w:noWrap/>
          </w:tcPr>
          <w:p>
            <w:pPr>
              <w:rPr>
                <w:rFonts w:ascii="仿宋_GB2312" w:eastAsia="仿宋_GB2312"/>
                <w:sz w:val="2"/>
                <w:szCs w:val="2"/>
              </w:rPr>
            </w:pPr>
          </w:p>
        </w:tc>
        <w:tc>
          <w:tcPr>
            <w:tcW w:w="1483" w:type="dxa"/>
            <w:gridSpan w:val="2"/>
            <w:noWrap/>
            <w:vAlign w:val="center"/>
          </w:tcPr>
          <w:p>
            <w:pPr>
              <w:pStyle w:val="22"/>
              <w:jc w:val="center"/>
              <w:rPr>
                <w:rFonts w:ascii="仿宋_GB2312" w:eastAsia="仿宋_GB2312"/>
                <w:sz w:val="24"/>
              </w:rPr>
            </w:pPr>
            <w:r>
              <w:rPr>
                <w:rFonts w:hint="eastAsia" w:ascii="仿宋_GB2312" w:eastAsia="仿宋_GB2312"/>
                <w:sz w:val="24"/>
              </w:rPr>
              <w:t>竞赛地点</w:t>
            </w:r>
          </w:p>
        </w:tc>
        <w:tc>
          <w:tcPr>
            <w:tcW w:w="5795" w:type="dxa"/>
            <w:gridSpan w:val="7"/>
            <w:noWrap/>
            <w:vAlign w:val="center"/>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1482" w:type="dxa"/>
            <w:vMerge w:val="continue"/>
            <w:tcBorders>
              <w:top w:val="nil"/>
            </w:tcBorders>
            <w:noWrap/>
          </w:tcPr>
          <w:p>
            <w:pPr>
              <w:rPr>
                <w:rFonts w:ascii="仿宋_GB2312" w:eastAsia="仿宋_GB2312"/>
                <w:sz w:val="2"/>
                <w:szCs w:val="2"/>
              </w:rPr>
            </w:pPr>
          </w:p>
        </w:tc>
        <w:tc>
          <w:tcPr>
            <w:tcW w:w="1483" w:type="dxa"/>
            <w:gridSpan w:val="2"/>
            <w:noWrap/>
            <w:vAlign w:val="center"/>
          </w:tcPr>
          <w:p>
            <w:pPr>
              <w:pStyle w:val="22"/>
              <w:jc w:val="center"/>
              <w:rPr>
                <w:rFonts w:ascii="仿宋_GB2312" w:eastAsia="仿宋_GB2312"/>
                <w:sz w:val="24"/>
              </w:rPr>
            </w:pPr>
            <w:r>
              <w:rPr>
                <w:rFonts w:hint="eastAsia" w:ascii="仿宋_GB2312" w:eastAsia="仿宋_GB2312"/>
                <w:sz w:val="24"/>
              </w:rPr>
              <w:t>补助天数</w:t>
            </w:r>
          </w:p>
        </w:tc>
        <w:tc>
          <w:tcPr>
            <w:tcW w:w="1540" w:type="dxa"/>
            <w:gridSpan w:val="3"/>
            <w:noWrap/>
            <w:vAlign w:val="center"/>
          </w:tcPr>
          <w:p>
            <w:pPr>
              <w:pStyle w:val="22"/>
              <w:jc w:val="center"/>
              <w:rPr>
                <w:rFonts w:ascii="仿宋_GB2312" w:eastAsia="仿宋_GB2312"/>
                <w:sz w:val="24"/>
              </w:rPr>
            </w:pPr>
          </w:p>
        </w:tc>
        <w:tc>
          <w:tcPr>
            <w:tcW w:w="1677" w:type="dxa"/>
            <w:gridSpan w:val="2"/>
            <w:noWrap/>
            <w:vAlign w:val="center"/>
          </w:tcPr>
          <w:p>
            <w:pPr>
              <w:pStyle w:val="22"/>
              <w:jc w:val="center"/>
              <w:rPr>
                <w:rFonts w:ascii="仿宋_GB2312" w:eastAsia="仿宋_GB2312"/>
                <w:sz w:val="24"/>
              </w:rPr>
            </w:pPr>
            <w:r>
              <w:rPr>
                <w:rFonts w:hint="eastAsia" w:ascii="仿宋_GB2312" w:eastAsia="仿宋_GB2312"/>
                <w:sz w:val="24"/>
              </w:rPr>
              <w:t>补助金额合计</w:t>
            </w:r>
          </w:p>
        </w:tc>
        <w:tc>
          <w:tcPr>
            <w:tcW w:w="2578" w:type="dxa"/>
            <w:gridSpan w:val="2"/>
            <w:noWrap/>
            <w:vAlign w:val="center"/>
          </w:tcPr>
          <w:p>
            <w:pPr>
              <w:pStyle w:val="22"/>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1482" w:type="dxa"/>
            <w:vMerge w:val="continue"/>
            <w:noWrap/>
          </w:tcPr>
          <w:p>
            <w:pPr>
              <w:pStyle w:val="22"/>
              <w:rPr>
                <w:rFonts w:ascii="仿宋_GB2312" w:eastAsia="仿宋_GB2312"/>
              </w:rPr>
            </w:pPr>
          </w:p>
        </w:tc>
        <w:tc>
          <w:tcPr>
            <w:tcW w:w="1483" w:type="dxa"/>
            <w:gridSpan w:val="2"/>
            <w:noWrap/>
            <w:vAlign w:val="center"/>
          </w:tcPr>
          <w:p>
            <w:pPr>
              <w:pStyle w:val="22"/>
              <w:jc w:val="center"/>
              <w:rPr>
                <w:rFonts w:ascii="仿宋_GB2312" w:eastAsia="仿宋_GB2312"/>
              </w:rPr>
            </w:pPr>
            <w:r>
              <w:rPr>
                <w:rFonts w:hint="eastAsia" w:ascii="仿宋_GB2312" w:eastAsia="仿宋_GB2312"/>
                <w:sz w:val="24"/>
              </w:rPr>
              <w:t>补助标准</w:t>
            </w:r>
          </w:p>
        </w:tc>
        <w:tc>
          <w:tcPr>
            <w:tcW w:w="5795" w:type="dxa"/>
            <w:gridSpan w:val="7"/>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482" w:type="dxa"/>
            <w:noWrap/>
          </w:tcPr>
          <w:p>
            <w:pPr>
              <w:pStyle w:val="22"/>
              <w:spacing w:line="320" w:lineRule="exact"/>
              <w:ind w:left="232" w:right="214"/>
              <w:jc w:val="center"/>
              <w:rPr>
                <w:rFonts w:ascii="仿宋_GB2312" w:eastAsia="仿宋_GB2312"/>
                <w:sz w:val="24"/>
              </w:rPr>
            </w:pPr>
            <w:r>
              <w:rPr>
                <w:rFonts w:hint="eastAsia" w:ascii="仿宋_GB2312" w:eastAsia="仿宋_GB2312"/>
                <w:sz w:val="24"/>
              </w:rPr>
              <w:t>个人银行</w:t>
            </w:r>
          </w:p>
          <w:p>
            <w:pPr>
              <w:pStyle w:val="22"/>
              <w:spacing w:line="301" w:lineRule="exact"/>
              <w:ind w:left="228" w:right="214"/>
              <w:jc w:val="center"/>
              <w:rPr>
                <w:rFonts w:ascii="仿宋_GB2312" w:eastAsia="仿宋_GB2312"/>
                <w:sz w:val="24"/>
              </w:rPr>
            </w:pPr>
            <w:r>
              <w:rPr>
                <w:rFonts w:hint="eastAsia" w:ascii="仿宋_GB2312" w:eastAsia="仿宋_GB2312"/>
                <w:sz w:val="24"/>
              </w:rPr>
              <w:t>账号</w:t>
            </w:r>
          </w:p>
        </w:tc>
        <w:tc>
          <w:tcPr>
            <w:tcW w:w="7278" w:type="dxa"/>
            <w:gridSpan w:val="9"/>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482" w:type="dxa"/>
            <w:noWrap/>
          </w:tcPr>
          <w:p>
            <w:pPr>
              <w:pStyle w:val="22"/>
              <w:spacing w:before="83"/>
              <w:ind w:left="370"/>
              <w:rPr>
                <w:rFonts w:ascii="仿宋_GB2312" w:eastAsia="仿宋_GB2312"/>
                <w:sz w:val="24"/>
              </w:rPr>
            </w:pPr>
            <w:r>
              <w:rPr>
                <w:rFonts w:hint="eastAsia" w:ascii="仿宋_GB2312" w:eastAsia="仿宋_GB2312"/>
                <w:sz w:val="24"/>
              </w:rPr>
              <w:t>开户行</w:t>
            </w:r>
          </w:p>
        </w:tc>
        <w:tc>
          <w:tcPr>
            <w:tcW w:w="7278" w:type="dxa"/>
            <w:gridSpan w:val="9"/>
            <w:noWrap/>
          </w:tcPr>
          <w:p>
            <w:pPr>
              <w:pStyle w:val="22"/>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atLeast"/>
        </w:trPr>
        <w:tc>
          <w:tcPr>
            <w:tcW w:w="1482" w:type="dxa"/>
            <w:noWrap/>
            <w:vAlign w:val="center"/>
          </w:tcPr>
          <w:p>
            <w:pPr>
              <w:pStyle w:val="22"/>
              <w:spacing w:line="226" w:lineRule="auto"/>
              <w:jc w:val="center"/>
              <w:rPr>
                <w:rFonts w:ascii="仿宋_GB2312" w:eastAsia="仿宋_GB2312"/>
                <w:sz w:val="24"/>
              </w:rPr>
            </w:pPr>
            <w:r>
              <w:rPr>
                <w:rFonts w:hint="eastAsia" w:ascii="仿宋_GB2312" w:eastAsia="仿宋_GB2312"/>
                <w:sz w:val="24"/>
              </w:rPr>
              <w:t>所在单位</w:t>
            </w:r>
          </w:p>
          <w:p>
            <w:pPr>
              <w:pStyle w:val="22"/>
              <w:spacing w:line="226" w:lineRule="auto"/>
              <w:jc w:val="center"/>
              <w:rPr>
                <w:rFonts w:ascii="仿宋_GB2312" w:eastAsia="仿宋_GB2312"/>
                <w:sz w:val="24"/>
              </w:rPr>
            </w:pPr>
            <w:r>
              <w:rPr>
                <w:rFonts w:hint="eastAsia" w:ascii="仿宋_GB2312" w:eastAsia="仿宋_GB2312"/>
                <w:sz w:val="24"/>
              </w:rPr>
              <w:t>意见</w:t>
            </w:r>
          </w:p>
        </w:tc>
        <w:tc>
          <w:tcPr>
            <w:tcW w:w="7278" w:type="dxa"/>
            <w:gridSpan w:val="9"/>
            <w:noWrap/>
          </w:tcPr>
          <w:p>
            <w:pPr>
              <w:pStyle w:val="22"/>
              <w:rPr>
                <w:rFonts w:ascii="仿宋_GB2312" w:eastAsia="仿宋_GB2312"/>
                <w:sz w:val="24"/>
              </w:rPr>
            </w:pPr>
          </w:p>
        </w:tc>
      </w:tr>
    </w:tbl>
    <w:p>
      <w:pPr>
        <w:rPr>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Text Box 1" o:spid="_x0000_s1026" o:spt="202" type="#_x0000_t202" style="position:absolute;left:0pt;margin-top:0pt;height:12.05pt;width:5.3pt;mso-position-horizontal:center;mso-position-horizontal-relative:margin;mso-wrap-style:none;z-index:251660288;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qzVF0AAAAAMBAAAPAAAAAAAA&#10;AAEAIAAAACIAAABkcnMvZG93bnJldi54bWxQSwECFAAUAAAACACHTuJAYiW+r+EBAADAAwAADgAA&#10;AAAAAAABACAAAAAfAQAAZHJzL2Uyb0RvYy54bWxQSwUGAAAAAAYABgBZAQAAcgUAAAAA&#1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t>17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MDc5M2FlMzVkODhlZTVjZGY2ZTdjOGM1NmJjZDU5MzYifQ=="/>
  </w:docVars>
  <w:rsids>
    <w:rsidRoot w:val="00172A27"/>
    <w:rsid w:val="00027BCA"/>
    <w:rsid w:val="000429DC"/>
    <w:rsid w:val="00077332"/>
    <w:rsid w:val="000F123F"/>
    <w:rsid w:val="00100225"/>
    <w:rsid w:val="00116561"/>
    <w:rsid w:val="00151468"/>
    <w:rsid w:val="00172A27"/>
    <w:rsid w:val="0018058C"/>
    <w:rsid w:val="001A0172"/>
    <w:rsid w:val="001A175F"/>
    <w:rsid w:val="001A1C84"/>
    <w:rsid w:val="001C2404"/>
    <w:rsid w:val="001E5BF2"/>
    <w:rsid w:val="00203FEC"/>
    <w:rsid w:val="00240996"/>
    <w:rsid w:val="00264E81"/>
    <w:rsid w:val="00283482"/>
    <w:rsid w:val="002C74CE"/>
    <w:rsid w:val="002D0205"/>
    <w:rsid w:val="003607C0"/>
    <w:rsid w:val="00360F7D"/>
    <w:rsid w:val="00362A07"/>
    <w:rsid w:val="00362ED3"/>
    <w:rsid w:val="00375486"/>
    <w:rsid w:val="003A0EF1"/>
    <w:rsid w:val="003A5E8A"/>
    <w:rsid w:val="003D00AE"/>
    <w:rsid w:val="003F585D"/>
    <w:rsid w:val="003F6D9D"/>
    <w:rsid w:val="00434143"/>
    <w:rsid w:val="00460960"/>
    <w:rsid w:val="004C3EAD"/>
    <w:rsid w:val="004E218C"/>
    <w:rsid w:val="0052306F"/>
    <w:rsid w:val="00561AA0"/>
    <w:rsid w:val="0058353E"/>
    <w:rsid w:val="0059747D"/>
    <w:rsid w:val="005D3C07"/>
    <w:rsid w:val="005D7A98"/>
    <w:rsid w:val="00620E89"/>
    <w:rsid w:val="00636E75"/>
    <w:rsid w:val="006604B9"/>
    <w:rsid w:val="00661F13"/>
    <w:rsid w:val="006815CC"/>
    <w:rsid w:val="006E1144"/>
    <w:rsid w:val="0072410C"/>
    <w:rsid w:val="00756A52"/>
    <w:rsid w:val="00772817"/>
    <w:rsid w:val="00786ECA"/>
    <w:rsid w:val="00790C01"/>
    <w:rsid w:val="007B549C"/>
    <w:rsid w:val="00817CE6"/>
    <w:rsid w:val="00843A19"/>
    <w:rsid w:val="008D4C47"/>
    <w:rsid w:val="008E3FE9"/>
    <w:rsid w:val="008E4DD2"/>
    <w:rsid w:val="008F6541"/>
    <w:rsid w:val="00941FBA"/>
    <w:rsid w:val="00970337"/>
    <w:rsid w:val="00973A28"/>
    <w:rsid w:val="009951F9"/>
    <w:rsid w:val="009C0CCB"/>
    <w:rsid w:val="009F63AD"/>
    <w:rsid w:val="00A14ABC"/>
    <w:rsid w:val="00A304F1"/>
    <w:rsid w:val="00A368A3"/>
    <w:rsid w:val="00A47BA5"/>
    <w:rsid w:val="00A94F6F"/>
    <w:rsid w:val="00AB2F82"/>
    <w:rsid w:val="00AB4417"/>
    <w:rsid w:val="00AD1122"/>
    <w:rsid w:val="00AD7BA9"/>
    <w:rsid w:val="00B20685"/>
    <w:rsid w:val="00B23666"/>
    <w:rsid w:val="00BA7A38"/>
    <w:rsid w:val="00BB0A24"/>
    <w:rsid w:val="00BC6CBC"/>
    <w:rsid w:val="00BF6BDC"/>
    <w:rsid w:val="00C15405"/>
    <w:rsid w:val="00C41855"/>
    <w:rsid w:val="00C560D9"/>
    <w:rsid w:val="00C97938"/>
    <w:rsid w:val="00C979D2"/>
    <w:rsid w:val="00CC2934"/>
    <w:rsid w:val="00CE23C2"/>
    <w:rsid w:val="00CE5C88"/>
    <w:rsid w:val="00D93813"/>
    <w:rsid w:val="00D96FF2"/>
    <w:rsid w:val="00DA178F"/>
    <w:rsid w:val="00DB5238"/>
    <w:rsid w:val="00E513D0"/>
    <w:rsid w:val="00E67A5B"/>
    <w:rsid w:val="00E717A2"/>
    <w:rsid w:val="00E7638F"/>
    <w:rsid w:val="00EB432E"/>
    <w:rsid w:val="00F24A5A"/>
    <w:rsid w:val="00F306A7"/>
    <w:rsid w:val="00F3260D"/>
    <w:rsid w:val="00F41969"/>
    <w:rsid w:val="00F47AEB"/>
    <w:rsid w:val="00F50CB6"/>
    <w:rsid w:val="00F51727"/>
    <w:rsid w:val="00F643B3"/>
    <w:rsid w:val="00F80C6D"/>
    <w:rsid w:val="00FE7E94"/>
    <w:rsid w:val="00FF39F1"/>
    <w:rsid w:val="00FF61D9"/>
    <w:rsid w:val="01D36151"/>
    <w:rsid w:val="02D76C3C"/>
    <w:rsid w:val="03094F43"/>
    <w:rsid w:val="03577554"/>
    <w:rsid w:val="043973AC"/>
    <w:rsid w:val="04EF5B50"/>
    <w:rsid w:val="05441308"/>
    <w:rsid w:val="065D05A1"/>
    <w:rsid w:val="067C32DF"/>
    <w:rsid w:val="077A2A9F"/>
    <w:rsid w:val="08F056C0"/>
    <w:rsid w:val="090E6F64"/>
    <w:rsid w:val="09825F7E"/>
    <w:rsid w:val="0B1A58D6"/>
    <w:rsid w:val="0B550714"/>
    <w:rsid w:val="0BA60376"/>
    <w:rsid w:val="0CA92745"/>
    <w:rsid w:val="0D9E5A8B"/>
    <w:rsid w:val="0E1022BE"/>
    <w:rsid w:val="0E294C29"/>
    <w:rsid w:val="0E7362C9"/>
    <w:rsid w:val="0E79306A"/>
    <w:rsid w:val="0E8F108C"/>
    <w:rsid w:val="0F8552BA"/>
    <w:rsid w:val="0F915C8A"/>
    <w:rsid w:val="106D793B"/>
    <w:rsid w:val="10BB089B"/>
    <w:rsid w:val="115A3262"/>
    <w:rsid w:val="128948CB"/>
    <w:rsid w:val="128C7ECA"/>
    <w:rsid w:val="145C4DEE"/>
    <w:rsid w:val="14686834"/>
    <w:rsid w:val="14B9283D"/>
    <w:rsid w:val="14F166F1"/>
    <w:rsid w:val="15260438"/>
    <w:rsid w:val="153928BE"/>
    <w:rsid w:val="16385869"/>
    <w:rsid w:val="166D5CB3"/>
    <w:rsid w:val="16F91738"/>
    <w:rsid w:val="17E00356"/>
    <w:rsid w:val="18496A75"/>
    <w:rsid w:val="190869CE"/>
    <w:rsid w:val="19C56AFD"/>
    <w:rsid w:val="1DB76547"/>
    <w:rsid w:val="1DBA4648"/>
    <w:rsid w:val="1E0A0DF6"/>
    <w:rsid w:val="1EE26ABA"/>
    <w:rsid w:val="1EFF5CE0"/>
    <w:rsid w:val="1F314D39"/>
    <w:rsid w:val="1F751FF3"/>
    <w:rsid w:val="20170724"/>
    <w:rsid w:val="202D6C3A"/>
    <w:rsid w:val="20A81A19"/>
    <w:rsid w:val="21EA123E"/>
    <w:rsid w:val="221F30D1"/>
    <w:rsid w:val="23571E99"/>
    <w:rsid w:val="25067822"/>
    <w:rsid w:val="25DE6219"/>
    <w:rsid w:val="263905F3"/>
    <w:rsid w:val="28083A01"/>
    <w:rsid w:val="29560B23"/>
    <w:rsid w:val="297B08EF"/>
    <w:rsid w:val="2A6A2D06"/>
    <w:rsid w:val="2B2E6445"/>
    <w:rsid w:val="2B447A70"/>
    <w:rsid w:val="2C2E56AE"/>
    <w:rsid w:val="2DD2659E"/>
    <w:rsid w:val="2F30263C"/>
    <w:rsid w:val="2FC97CF6"/>
    <w:rsid w:val="3010508E"/>
    <w:rsid w:val="32953C48"/>
    <w:rsid w:val="32B177F8"/>
    <w:rsid w:val="34C75F39"/>
    <w:rsid w:val="353C0D4E"/>
    <w:rsid w:val="35CD0D6A"/>
    <w:rsid w:val="36056C24"/>
    <w:rsid w:val="36AF358B"/>
    <w:rsid w:val="370423BD"/>
    <w:rsid w:val="37F64465"/>
    <w:rsid w:val="390E034C"/>
    <w:rsid w:val="393019CF"/>
    <w:rsid w:val="39AC2A1E"/>
    <w:rsid w:val="3A1713B2"/>
    <w:rsid w:val="3A850557"/>
    <w:rsid w:val="3B887395"/>
    <w:rsid w:val="3B9500D4"/>
    <w:rsid w:val="3C604FB3"/>
    <w:rsid w:val="3C7278C6"/>
    <w:rsid w:val="40223DC1"/>
    <w:rsid w:val="40D3217C"/>
    <w:rsid w:val="411C5913"/>
    <w:rsid w:val="41982044"/>
    <w:rsid w:val="41E43ECF"/>
    <w:rsid w:val="42417BF7"/>
    <w:rsid w:val="437407C3"/>
    <w:rsid w:val="43CE23FD"/>
    <w:rsid w:val="43D70393"/>
    <w:rsid w:val="4431215E"/>
    <w:rsid w:val="443A4CC8"/>
    <w:rsid w:val="44812AF2"/>
    <w:rsid w:val="45425CBC"/>
    <w:rsid w:val="45B25B74"/>
    <w:rsid w:val="47805E68"/>
    <w:rsid w:val="478B5B2D"/>
    <w:rsid w:val="47D4034D"/>
    <w:rsid w:val="49C96146"/>
    <w:rsid w:val="4B534DDA"/>
    <w:rsid w:val="4BD479FD"/>
    <w:rsid w:val="4C907722"/>
    <w:rsid w:val="4D5A3CCA"/>
    <w:rsid w:val="4D687F76"/>
    <w:rsid w:val="4EF11432"/>
    <w:rsid w:val="4F024454"/>
    <w:rsid w:val="4F994E5D"/>
    <w:rsid w:val="50C35629"/>
    <w:rsid w:val="51480819"/>
    <w:rsid w:val="52111D95"/>
    <w:rsid w:val="5233185E"/>
    <w:rsid w:val="52583EA8"/>
    <w:rsid w:val="52DB5CE4"/>
    <w:rsid w:val="52F908A2"/>
    <w:rsid w:val="531A6765"/>
    <w:rsid w:val="5372619B"/>
    <w:rsid w:val="546D3759"/>
    <w:rsid w:val="54C64B7F"/>
    <w:rsid w:val="55EF49F3"/>
    <w:rsid w:val="56881D0D"/>
    <w:rsid w:val="578A3819"/>
    <w:rsid w:val="57956F05"/>
    <w:rsid w:val="57FB42CB"/>
    <w:rsid w:val="58BF0799"/>
    <w:rsid w:val="5A1C4A57"/>
    <w:rsid w:val="5B481200"/>
    <w:rsid w:val="5B612204"/>
    <w:rsid w:val="5BC42B45"/>
    <w:rsid w:val="5D077D11"/>
    <w:rsid w:val="5D6A1C1E"/>
    <w:rsid w:val="5D8B3F8C"/>
    <w:rsid w:val="5DAF0E10"/>
    <w:rsid w:val="5E684002"/>
    <w:rsid w:val="5EE70084"/>
    <w:rsid w:val="5F783983"/>
    <w:rsid w:val="5F964DA0"/>
    <w:rsid w:val="60785105"/>
    <w:rsid w:val="60A60D2E"/>
    <w:rsid w:val="619D413D"/>
    <w:rsid w:val="61F672DE"/>
    <w:rsid w:val="62515220"/>
    <w:rsid w:val="632E1BAC"/>
    <w:rsid w:val="64584230"/>
    <w:rsid w:val="66A47C91"/>
    <w:rsid w:val="67526076"/>
    <w:rsid w:val="676E05C0"/>
    <w:rsid w:val="678A71DF"/>
    <w:rsid w:val="686771CF"/>
    <w:rsid w:val="68F16AA3"/>
    <w:rsid w:val="69FD7BB6"/>
    <w:rsid w:val="6B3E2A18"/>
    <w:rsid w:val="6B675E4D"/>
    <w:rsid w:val="6BBA5BFC"/>
    <w:rsid w:val="6CE316B8"/>
    <w:rsid w:val="6D8B40D5"/>
    <w:rsid w:val="6E190879"/>
    <w:rsid w:val="6F9D5177"/>
    <w:rsid w:val="70796DC9"/>
    <w:rsid w:val="72493299"/>
    <w:rsid w:val="73970014"/>
    <w:rsid w:val="73F35A3D"/>
    <w:rsid w:val="751F0426"/>
    <w:rsid w:val="77A21240"/>
    <w:rsid w:val="77B43DCD"/>
    <w:rsid w:val="798909AE"/>
    <w:rsid w:val="7A28399C"/>
    <w:rsid w:val="7B140D22"/>
    <w:rsid w:val="7B9C41D6"/>
    <w:rsid w:val="7C26170B"/>
    <w:rsid w:val="7CDF6925"/>
    <w:rsid w:val="7D3B3833"/>
    <w:rsid w:val="7E2B3EC4"/>
    <w:rsid w:val="7E35350E"/>
    <w:rsid w:val="7EC54A30"/>
    <w:rsid w:val="7F3F4B5F"/>
    <w:rsid w:val="7FB97DE6"/>
    <w:rsid w:val="7FDA4E4D"/>
    <w:rsid w:val="F7FEC3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9"/>
    <w:pPr>
      <w:keepNext/>
      <w:keepLines/>
      <w:spacing w:before="340" w:after="330" w:line="578" w:lineRule="auto"/>
      <w:outlineLvl w:val="0"/>
    </w:pPr>
    <w:rPr>
      <w:b/>
      <w:kern w:val="44"/>
      <w:sz w:val="44"/>
      <w:szCs w:val="20"/>
    </w:rPr>
  </w:style>
  <w:style w:type="paragraph" w:styleId="3">
    <w:name w:val="heading 4"/>
    <w:basedOn w:val="1"/>
    <w:next w:val="1"/>
    <w:link w:val="13"/>
    <w:qFormat/>
    <w:uiPriority w:val="99"/>
    <w:pPr>
      <w:keepNext/>
      <w:keepLines/>
      <w:spacing w:before="280" w:after="290" w:line="376" w:lineRule="auto"/>
      <w:outlineLvl w:val="3"/>
    </w:pPr>
    <w:rPr>
      <w:rFonts w:ascii="Cambria" w:hAnsi="Cambria"/>
      <w:b/>
      <w:kern w:val="0"/>
      <w:sz w:val="28"/>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4"/>
    <w:qFormat/>
    <w:uiPriority w:val="99"/>
    <w:pPr>
      <w:ind w:left="100" w:leftChars="2500"/>
    </w:pPr>
    <w:rPr>
      <w:kern w:val="0"/>
      <w:sz w:val="20"/>
      <w:szCs w:val="20"/>
    </w:rPr>
  </w:style>
  <w:style w:type="paragraph" w:styleId="5">
    <w:name w:val="Balloon Text"/>
    <w:basedOn w:val="1"/>
    <w:link w:val="15"/>
    <w:qFormat/>
    <w:uiPriority w:val="99"/>
    <w:rPr>
      <w:kern w:val="0"/>
      <w:sz w:val="18"/>
      <w:szCs w:val="20"/>
    </w:rPr>
  </w:style>
  <w:style w:type="paragraph" w:styleId="6">
    <w:name w:val="footer"/>
    <w:basedOn w:val="1"/>
    <w:link w:val="16"/>
    <w:qFormat/>
    <w:uiPriority w:val="99"/>
    <w:pPr>
      <w:tabs>
        <w:tab w:val="center" w:pos="4153"/>
        <w:tab w:val="right" w:pos="8306"/>
      </w:tabs>
      <w:snapToGrid w:val="0"/>
      <w:jc w:val="left"/>
    </w:pPr>
    <w:rPr>
      <w:kern w:val="0"/>
      <w:sz w:val="18"/>
      <w:szCs w:val="20"/>
    </w:rPr>
  </w:style>
  <w:style w:type="paragraph" w:styleId="7">
    <w:name w:val="header"/>
    <w:basedOn w:val="1"/>
    <w:link w:val="17"/>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qFormat/>
    <w:uiPriority w:val="99"/>
    <w:rPr>
      <w:sz w:val="24"/>
    </w:rPr>
  </w:style>
  <w:style w:type="character" w:styleId="11">
    <w:name w:val="Hyperlink"/>
    <w:basedOn w:val="10"/>
    <w:qFormat/>
    <w:uiPriority w:val="99"/>
    <w:rPr>
      <w:rFonts w:cs="Times New Roman"/>
      <w:color w:val="0000FF"/>
      <w:u w:val="single"/>
    </w:rPr>
  </w:style>
  <w:style w:type="character" w:customStyle="1" w:styleId="12">
    <w:name w:val="标题 1 Char"/>
    <w:basedOn w:val="10"/>
    <w:link w:val="2"/>
    <w:qFormat/>
    <w:locked/>
    <w:uiPriority w:val="99"/>
    <w:rPr>
      <w:rFonts w:ascii="Times New Roman" w:hAnsi="Times New Roman" w:eastAsia="宋体"/>
      <w:b/>
      <w:kern w:val="44"/>
      <w:sz w:val="44"/>
    </w:rPr>
  </w:style>
  <w:style w:type="character" w:customStyle="1" w:styleId="13">
    <w:name w:val="标题 4 Char"/>
    <w:basedOn w:val="10"/>
    <w:link w:val="3"/>
    <w:qFormat/>
    <w:locked/>
    <w:uiPriority w:val="99"/>
    <w:rPr>
      <w:rFonts w:ascii="Cambria" w:hAnsi="Cambria" w:eastAsia="宋体"/>
      <w:b/>
      <w:sz w:val="28"/>
    </w:rPr>
  </w:style>
  <w:style w:type="character" w:customStyle="1" w:styleId="14">
    <w:name w:val="日期 Char"/>
    <w:basedOn w:val="10"/>
    <w:link w:val="4"/>
    <w:qFormat/>
    <w:locked/>
    <w:uiPriority w:val="99"/>
    <w:rPr>
      <w:rFonts w:cs="Times New Roman"/>
    </w:rPr>
  </w:style>
  <w:style w:type="character" w:customStyle="1" w:styleId="15">
    <w:name w:val="批注框文本 Char"/>
    <w:basedOn w:val="10"/>
    <w:link w:val="5"/>
    <w:qFormat/>
    <w:locked/>
    <w:uiPriority w:val="99"/>
    <w:rPr>
      <w:sz w:val="18"/>
    </w:rPr>
  </w:style>
  <w:style w:type="character" w:customStyle="1" w:styleId="16">
    <w:name w:val="页脚 Char"/>
    <w:basedOn w:val="10"/>
    <w:link w:val="6"/>
    <w:qFormat/>
    <w:locked/>
    <w:uiPriority w:val="99"/>
    <w:rPr>
      <w:sz w:val="18"/>
    </w:rPr>
  </w:style>
  <w:style w:type="character" w:customStyle="1" w:styleId="17">
    <w:name w:val="页眉 Char"/>
    <w:basedOn w:val="10"/>
    <w:link w:val="7"/>
    <w:qFormat/>
    <w:locked/>
    <w:uiPriority w:val="99"/>
    <w:rPr>
      <w:sz w:val="18"/>
    </w:rPr>
  </w:style>
  <w:style w:type="paragraph" w:customStyle="1" w:styleId="18">
    <w:name w:val="列出段落1"/>
    <w:basedOn w:val="1"/>
    <w:qFormat/>
    <w:uiPriority w:val="99"/>
    <w:pPr>
      <w:ind w:firstLine="420" w:firstLineChars="200"/>
    </w:pPr>
    <w:rPr>
      <w:rFonts w:ascii="Calibri" w:hAnsi="Calibri" w:cs="黑体"/>
      <w:szCs w:val="22"/>
    </w:rPr>
  </w:style>
  <w:style w:type="paragraph" w:customStyle="1" w:styleId="19">
    <w:name w:val="p0"/>
    <w:basedOn w:val="1"/>
    <w:qFormat/>
    <w:uiPriority w:val="99"/>
    <w:pPr>
      <w:widowControl/>
      <w:spacing w:before="100" w:beforeAutospacing="1" w:after="100" w:afterAutospacing="1"/>
      <w:jc w:val="left"/>
    </w:pPr>
    <w:rPr>
      <w:rFonts w:ascii="宋体" w:hAnsi="宋体" w:cs="宋体"/>
      <w:kern w:val="0"/>
      <w:sz w:val="24"/>
    </w:rPr>
  </w:style>
  <w:style w:type="character" w:customStyle="1" w:styleId="20">
    <w:name w:val="from"/>
    <w:qFormat/>
    <w:uiPriority w:val="99"/>
  </w:style>
  <w:style w:type="character" w:customStyle="1" w:styleId="21">
    <w:name w:val="time"/>
    <w:qFormat/>
    <w:uiPriority w:val="99"/>
  </w:style>
  <w:style w:type="paragraph" w:customStyle="1" w:styleId="22">
    <w:name w:val="Table Paragraph"/>
    <w:basedOn w:val="1"/>
    <w:qFormat/>
    <w:uiPriority w:val="99"/>
    <w:rPr>
      <w:rFonts w:ascii="微软雅黑" w:hAnsi="微软雅黑" w:eastAsia="微软雅黑" w:cs="微软雅黑"/>
      <w:lang w:val="zh-CN"/>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7745</Words>
  <Characters>1007</Characters>
  <Lines>8</Lines>
  <Paragraphs>17</Paragraphs>
  <TotalTime>408</TotalTime>
  <ScaleCrop>false</ScaleCrop>
  <LinksUpToDate>false</LinksUpToDate>
  <CharactersWithSpaces>8735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2021-04-15T08:41:00Z</dcterms:created>
  <dc:creator>123</dc:creator>
  <cp:lastModifiedBy>uos</cp:lastModifiedBy>
  <cp:lastPrinted>2023-06-12T15:44:00Z</cp:lastPrinted>
  <dcterms:modified xsi:type="dcterms:W3CDTF">2023-08-02T10:40:07Z</dcterms:modified>
  <dc:title>龙人社[2015]   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B69C76DAA9D1495380D186F797F3B640_12</vt:lpwstr>
  </property>
</Properties>
</file>