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15"/>
          <w:sz w:val="32"/>
          <w:szCs w:val="32"/>
          <w:lang w:val="en-US" w:eastAsia="zh-CN"/>
        </w:rPr>
        <w:t>附件1</w:t>
      </w:r>
    </w:p>
    <w:tbl>
      <w:tblPr>
        <w:tblStyle w:val="2"/>
        <w:tblW w:w="81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393"/>
        <w:gridCol w:w="3891"/>
        <w:gridCol w:w="1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福州软件职业技术学院2022届毕业生生源情况汇总表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 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18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智能产业学院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软件技术（Web前端开发方向）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软件技术（软件测试技术方向）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智能终端技术与应用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游戏产业学院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数字媒体应用技术（VR方向）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动漫制作技术（VR方向）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数字展示技术（VR方向）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游戏设计（VR方向）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物流金融管理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建筑室内设计（VR方向）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1469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C7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2022-04-26T00:42:03Z</dcterms:created>
  <dc:creator>admin</dc:creator>
  <cp:lastModifiedBy>admin</cp:lastModifiedBy>
  <dcterms:modified xsi:type="dcterms:W3CDTF">2022-04-26T00:42:17Z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eyJoZGlkIjoiMjE5M2YxMzBhYzNjMmI3MThmYjYyNzc2OTQ1NzZlYmMifQ==</vt:lpwstr>
  </property>
  <property fmtid="{D5CDD505-2E9C-101B-9397-08002B2CF9AE}" pid="4" name="ICV">
    <vt:lpwstr>CBF6D99E031B4C3B8E0FBACB1359A028</vt:lpwstr>
  </property>
</Properties>
</file>