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68" w:lineRule="atLeast"/>
        <w:ind w:right="0"/>
        <w:jc w:val="center"/>
        <w:rPr>
          <w:rFonts w:hint="eastAsia" w:ascii="fangsong_gb2312" w:hAnsi="fangsong_gb2312" w:eastAsia="fangsong_gb2312" w:cs="fangsong_gb2312"/>
          <w:b/>
          <w:bCs/>
          <w:color w:val="333333"/>
          <w:spacing w:val="0"/>
          <w:kern w:val="0"/>
          <w:sz w:val="31"/>
          <w:szCs w:val="31"/>
          <w:lang w:val="en-US" w:eastAsia="zh-CN" w:bidi="ar"/>
        </w:rPr>
      </w:pPr>
      <w:r>
        <w:rPr>
          <w:rFonts w:hint="eastAsia" w:ascii="fangsong_gb2312" w:hAnsi="fangsong_gb2312" w:eastAsia="fangsong_gb2312" w:cs="fangsong_gb2312"/>
          <w:b/>
          <w:bCs/>
          <w:color w:val="333333"/>
          <w:spacing w:val="0"/>
          <w:kern w:val="0"/>
          <w:sz w:val="31"/>
          <w:szCs w:val="31"/>
          <w:lang w:val="en-US" w:eastAsia="zh-CN" w:bidi="ar"/>
        </w:rPr>
        <w:t>学校简介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645"/>
        <w:jc w:val="both"/>
        <w:rPr>
          <w:rFonts w:ascii="楷体" w:hAnsi="楷体" w:eastAsia="楷体" w:cs="楷体"/>
          <w:color w:val="333333"/>
          <w:spacing w:val="0"/>
          <w:sz w:val="31"/>
          <w:szCs w:val="31"/>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645"/>
        <w:jc w:val="both"/>
        <w:rPr>
          <w:color w:val="333333"/>
          <w:sz w:val="21"/>
          <w:szCs w:val="21"/>
        </w:rPr>
      </w:pPr>
      <w:bookmarkStart w:id="0" w:name="_GoBack"/>
      <w:bookmarkEnd w:id="0"/>
      <w:r>
        <w:rPr>
          <w:rFonts w:ascii="楷体" w:hAnsi="楷体" w:eastAsia="楷体" w:cs="楷体"/>
          <w:color w:val="333333"/>
          <w:spacing w:val="0"/>
          <w:sz w:val="31"/>
          <w:szCs w:val="31"/>
          <w:bdr w:val="none" w:color="auto" w:sz="0" w:space="0"/>
        </w:rPr>
        <w:t>学校校训：博学于文、修身以德。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645"/>
        <w:jc w:val="both"/>
        <w:rPr>
          <w:color w:val="333333"/>
          <w:sz w:val="21"/>
          <w:szCs w:val="21"/>
        </w:rPr>
      </w:pPr>
      <w:r>
        <w:rPr>
          <w:rFonts w:hint="eastAsia" w:ascii="楷体" w:hAnsi="楷体" w:eastAsia="楷体" w:cs="楷体"/>
          <w:color w:val="333333"/>
          <w:spacing w:val="0"/>
          <w:sz w:val="31"/>
          <w:szCs w:val="31"/>
          <w:bdr w:val="none" w:color="auto" w:sz="0" w:space="0"/>
        </w:rPr>
        <w:t>学校精神：创新、拼搏、包容、开放。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645"/>
        <w:jc w:val="both"/>
        <w:rPr>
          <w:color w:val="333333"/>
          <w:sz w:val="21"/>
          <w:szCs w:val="21"/>
        </w:rPr>
      </w:pPr>
      <w:r>
        <w:rPr>
          <w:rFonts w:hint="eastAsia" w:ascii="楷体" w:hAnsi="楷体" w:eastAsia="楷体" w:cs="楷体"/>
          <w:color w:val="333333"/>
          <w:spacing w:val="0"/>
          <w:sz w:val="31"/>
          <w:szCs w:val="31"/>
          <w:bdr w:val="none" w:color="auto" w:sz="0" w:space="0"/>
        </w:rPr>
        <w:t>学校定位:亲行业、重开放、创特色的应用型大学。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645"/>
        <w:jc w:val="both"/>
        <w:rPr>
          <w:color w:val="333333"/>
          <w:sz w:val="21"/>
          <w:szCs w:val="21"/>
        </w:rPr>
      </w:pPr>
      <w:r>
        <w:rPr>
          <w:rFonts w:hint="eastAsia" w:ascii="楷体" w:hAnsi="楷体" w:eastAsia="楷体" w:cs="楷体"/>
          <w:color w:val="333333"/>
          <w:spacing w:val="0"/>
          <w:sz w:val="31"/>
          <w:szCs w:val="31"/>
          <w:bdr w:val="none" w:color="auto" w:sz="0" w:space="0"/>
        </w:rPr>
        <w:t>办学目标定位：特色鲜明示范引领的区域一流应用型大学。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645"/>
        <w:jc w:val="both"/>
        <w:rPr>
          <w:color w:val="333333"/>
          <w:sz w:val="21"/>
          <w:szCs w:val="21"/>
        </w:rPr>
      </w:pPr>
      <w:r>
        <w:rPr>
          <w:rFonts w:hint="eastAsia" w:ascii="楷体" w:hAnsi="楷体" w:eastAsia="楷体" w:cs="楷体"/>
          <w:color w:val="333333"/>
          <w:spacing w:val="0"/>
          <w:sz w:val="31"/>
          <w:szCs w:val="31"/>
          <w:bdr w:val="none" w:color="auto" w:sz="0" w:space="0"/>
        </w:rPr>
        <w:t>办学类型定位：应用型大学。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645"/>
        <w:jc w:val="both"/>
        <w:rPr>
          <w:color w:val="333333"/>
          <w:sz w:val="21"/>
          <w:szCs w:val="21"/>
        </w:rPr>
      </w:pPr>
      <w:r>
        <w:rPr>
          <w:rFonts w:hint="eastAsia" w:ascii="楷体" w:hAnsi="楷体" w:eastAsia="楷体" w:cs="楷体"/>
          <w:color w:val="333333"/>
          <w:spacing w:val="0"/>
          <w:sz w:val="31"/>
          <w:szCs w:val="31"/>
          <w:bdr w:val="none" w:color="auto" w:sz="0" w:space="0"/>
        </w:rPr>
        <w:t>办学层次定位：以本科教育为主，创造条件发展研究生教育。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645"/>
        <w:jc w:val="both"/>
        <w:rPr>
          <w:color w:val="333333"/>
          <w:sz w:val="21"/>
          <w:szCs w:val="21"/>
        </w:rPr>
      </w:pPr>
      <w:r>
        <w:rPr>
          <w:rFonts w:hint="eastAsia" w:ascii="楷体" w:hAnsi="楷体" w:eastAsia="楷体" w:cs="楷体"/>
          <w:color w:val="333333"/>
          <w:spacing w:val="0"/>
          <w:sz w:val="31"/>
          <w:szCs w:val="31"/>
          <w:bdr w:val="none" w:color="auto" w:sz="0" w:space="0"/>
        </w:rPr>
        <w:t>人才培养目标定位：培养德智体美劳全面发展，适应新时代、新福建发展需要的复合性创新性应用型高素质人才。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645"/>
        <w:jc w:val="both"/>
        <w:rPr>
          <w:color w:val="333333"/>
          <w:sz w:val="21"/>
          <w:szCs w:val="21"/>
        </w:rPr>
      </w:pPr>
      <w:r>
        <w:rPr>
          <w:rFonts w:hint="eastAsia" w:ascii="楷体" w:hAnsi="楷体" w:eastAsia="楷体" w:cs="楷体"/>
          <w:color w:val="333333"/>
          <w:spacing w:val="0"/>
          <w:sz w:val="31"/>
          <w:szCs w:val="31"/>
          <w:bdr w:val="none" w:color="auto" w:sz="0" w:space="0"/>
        </w:rPr>
        <w:t>学科建设定位：做强做优经管法学科，做优做特新工科，引领带动相关学科，形成多学科协调发展的应用型学科体系。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645"/>
        <w:jc w:val="both"/>
        <w:rPr>
          <w:color w:val="333333"/>
          <w:sz w:val="21"/>
          <w:szCs w:val="21"/>
        </w:rPr>
      </w:pPr>
      <w:r>
        <w:rPr>
          <w:rFonts w:hint="eastAsia" w:ascii="楷体" w:hAnsi="楷体" w:eastAsia="楷体" w:cs="楷体"/>
          <w:color w:val="333333"/>
          <w:spacing w:val="0"/>
          <w:sz w:val="31"/>
          <w:szCs w:val="31"/>
          <w:bdr w:val="none" w:color="auto" w:sz="0" w:space="0"/>
        </w:rPr>
        <w:t>专业发展定位：对接新兴经济法律服务、绿色智能工程应用、现代社会治理3大领域，做强经管法专业，做优理工专业，做特艺文专业。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645"/>
        <w:jc w:val="both"/>
        <w:rPr>
          <w:color w:val="333333"/>
          <w:sz w:val="21"/>
          <w:szCs w:val="21"/>
        </w:rPr>
      </w:pPr>
      <w:r>
        <w:rPr>
          <w:rFonts w:hint="eastAsia" w:ascii="楷体" w:hAnsi="楷体" w:eastAsia="楷体" w:cs="楷体"/>
          <w:color w:val="333333"/>
          <w:spacing w:val="0"/>
          <w:sz w:val="31"/>
          <w:szCs w:val="31"/>
          <w:bdr w:val="none" w:color="auto" w:sz="0" w:space="0"/>
        </w:rPr>
        <w:t>服务面向定位：面向福建多区叠加开放型经济带、面向中小型企事业单位、面向城乡基层。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645"/>
        <w:jc w:val="both"/>
        <w:rPr>
          <w:color w:val="333333"/>
          <w:sz w:val="21"/>
          <w:szCs w:val="21"/>
        </w:rPr>
      </w:pPr>
      <w:r>
        <w:rPr>
          <w:rFonts w:hint="eastAsia" w:ascii="楷体" w:hAnsi="楷体" w:eastAsia="楷体" w:cs="楷体"/>
          <w:color w:val="333333"/>
          <w:spacing w:val="0"/>
          <w:sz w:val="31"/>
          <w:szCs w:val="31"/>
          <w:bdr w:val="none" w:color="auto" w:sz="0" w:space="0"/>
        </w:rPr>
        <w:t>办学特色定位：经管法优势学科和特色新兴工科等学科互交互融，政校企会等开放办学主体共育共享。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68" w:lineRule="atLeast"/>
        <w:ind w:left="0" w:right="0" w:firstLine="585"/>
        <w:jc w:val="both"/>
        <w:rPr>
          <w:color w:val="333333"/>
          <w:sz w:val="21"/>
          <w:szCs w:val="21"/>
        </w:rPr>
      </w:pPr>
      <w:r>
        <w:rPr>
          <w:rFonts w:ascii="fangsong_gb2312" w:hAnsi="fangsong_gb2312" w:eastAsia="fangsong_gb2312" w:cs="fangsong_gb2312"/>
          <w:color w:val="333333"/>
          <w:spacing w:val="0"/>
          <w:kern w:val="0"/>
          <w:sz w:val="31"/>
          <w:szCs w:val="3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68" w:lineRule="atLeast"/>
        <w:ind w:left="0" w:right="0" w:firstLine="645"/>
        <w:jc w:val="both"/>
        <w:rPr>
          <w:color w:val="333333"/>
          <w:sz w:val="21"/>
          <w:szCs w:val="21"/>
        </w:rPr>
      </w:pPr>
      <w:r>
        <w:rPr>
          <w:rFonts w:hint="default" w:ascii="fangsong_gb2312" w:hAnsi="fangsong_gb2312" w:eastAsia="fangsong_gb2312" w:cs="fangsong_gb2312"/>
          <w:color w:val="333333"/>
          <w:spacing w:val="0"/>
          <w:kern w:val="0"/>
          <w:sz w:val="31"/>
          <w:szCs w:val="31"/>
          <w:bdr w:val="none" w:color="auto" w:sz="0" w:space="0"/>
          <w:lang w:val="en-US" w:eastAsia="zh-CN" w:bidi="ar"/>
        </w:rPr>
        <w:t>福建江夏学院是福建省人民政府举办的省属全日制普通本科高校。办学历史最早可追溯到1957年，由福建经济管理干部学院、福建财会管理干部学院、福建省政法管理干部学院、福建金融职业技术学院合并组建，于2010年3月经教育部批准正式建立。学校校园规划面积1388.4亩，主校区坐落在福州地区大学城新校区，校区建设得到世纪金源集团的捐助。“十三五”以来，学校高质量通过教育部本科教学合格评估，先后获得全省高校党建工作示范校、“三全育人”综合改革试点高校、示范性应用型本科高校、硕士学位授予培育单位、首批深化创新创业教育改革示范高校、首批5A级平安校园、平安单位、文明校园、五一劳动奖状、黄炎培职业教育优秀学校奖等荣誉称号。进入“十四五”，中共福建省委办公厅、福建省人民政府办公厅《加快推进福州地区大学城高质量发展三年行动计划（2021-2023年）》和《福建省“十四五”教育发展专项规划》明确把学校纳入一流应用型大学建设计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68" w:lineRule="atLeast"/>
        <w:ind w:left="0" w:right="0" w:firstLine="645"/>
        <w:jc w:val="both"/>
        <w:rPr>
          <w:color w:val="333333"/>
          <w:sz w:val="21"/>
          <w:szCs w:val="21"/>
        </w:rPr>
      </w:pPr>
      <w:r>
        <w:rPr>
          <w:rFonts w:hint="default" w:ascii="fangsong_gb2312" w:hAnsi="fangsong_gb2312" w:eastAsia="fangsong_gb2312" w:cs="fangsong_gb2312"/>
          <w:color w:val="333333"/>
          <w:spacing w:val="0"/>
          <w:kern w:val="0"/>
          <w:sz w:val="31"/>
          <w:szCs w:val="31"/>
          <w:bdr w:val="none" w:color="auto" w:sz="0" w:space="0"/>
          <w:lang w:val="en-US" w:eastAsia="zh-CN" w:bidi="ar"/>
        </w:rPr>
        <w:t>学校现有13个二级学院和2个教学部，开设44个本科专业，涵盖22个一级学科和经、管、法、文、理、工、艺等7个学科门类。面向全国21个省（自治区、直辖市）招生，现有全日制本科在校生近1.5万人，历年毕业生就业率均在95%以上，位居全省同类院校前列。现有专任教师总数822人，高级职称389人、占比47.32%，具有硕士学位及以上的教师736人、占比89.53%，双师双能型教师占比61.1%，省级教学科研团队6个，各类高层次拔尖人才43人次，全国优秀教师2人，获省级表彰17人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68" w:lineRule="atLeast"/>
        <w:ind w:left="0" w:right="0" w:firstLine="645"/>
        <w:jc w:val="both"/>
        <w:rPr>
          <w:color w:val="333333"/>
          <w:sz w:val="21"/>
          <w:szCs w:val="21"/>
        </w:rPr>
      </w:pPr>
      <w:r>
        <w:rPr>
          <w:rFonts w:hint="default" w:ascii="fangsong_gb2312" w:hAnsi="fangsong_gb2312" w:eastAsia="fangsong_gb2312" w:cs="fangsong_gb2312"/>
          <w:color w:val="333333"/>
          <w:spacing w:val="0"/>
          <w:kern w:val="0"/>
          <w:sz w:val="31"/>
          <w:szCs w:val="31"/>
          <w:bdr w:val="none" w:color="auto" w:sz="0" w:space="0"/>
          <w:lang w:val="en-US" w:eastAsia="zh-CN" w:bidi="ar"/>
        </w:rPr>
        <w:t>学校坚持人才培养中心地位，走内涵式发展道路。与福州大学、福建师范大学、福建农林大学联合培养金融、会计、法律、土木水利、会计、集成电路工程、教育管理等6个专业学位点硕士研究生。获得省级应用型学科4个、重点学科4个、高校优势学科创新平台项目（培育）1个。现有国家级一流本科专业 1个，省级一流本科专业8个、应用型专业群6个、服务产业特色专业6个、创新创业教育改革试点专业6个。获批国家级、省级课程92门。获得省级优秀特色教材5本、省级教改项目58项、省级新工科项目2项和新文科项目3项、省级教学成果奖12项；教育部产学合作协同育人项目89个、教育部1+X证书制度试点院校项目16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68" w:lineRule="atLeast"/>
        <w:ind w:left="0" w:right="0" w:firstLine="645"/>
        <w:jc w:val="both"/>
        <w:rPr>
          <w:color w:val="333333"/>
          <w:sz w:val="21"/>
          <w:szCs w:val="21"/>
        </w:rPr>
      </w:pPr>
      <w:r>
        <w:rPr>
          <w:rFonts w:hint="default" w:ascii="fangsong_gb2312" w:hAnsi="fangsong_gb2312" w:eastAsia="fangsong_gb2312" w:cs="fangsong_gb2312"/>
          <w:color w:val="333333"/>
          <w:spacing w:val="0"/>
          <w:kern w:val="0"/>
          <w:sz w:val="31"/>
          <w:szCs w:val="31"/>
          <w:bdr w:val="none" w:color="auto" w:sz="0" w:space="0"/>
          <w:lang w:val="en-US" w:eastAsia="zh-CN" w:bidi="ar"/>
        </w:rPr>
        <w:t>学校深化产教融合改革，率先设立了装配式建筑产业学院、数字经济产业学院、财富管理产业学院、资产评估与财务服务行业学院、联发物业产业学院、议和劳动人事产业学院、金山软件产业学院等7个产业（行业）学院。现有国家级实践教学基地1个；省级公共基础课实验教学平台5个，实验教学示范中心7个，虚拟仿真实验教学示范中心3个，实践教学基地、“互联网+管理”培训机构教育实践基地、产创融合教育实践示范培育基地（跨境电商产创融合教育建设实践基地）、软件服务外包人才培养基地等8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68" w:lineRule="atLeast"/>
        <w:ind w:left="0" w:right="0" w:firstLine="645"/>
        <w:jc w:val="both"/>
        <w:rPr>
          <w:color w:val="333333"/>
          <w:sz w:val="21"/>
          <w:szCs w:val="21"/>
        </w:rPr>
      </w:pPr>
      <w:r>
        <w:rPr>
          <w:rFonts w:hint="default" w:ascii="fangsong_gb2312" w:hAnsi="fangsong_gb2312" w:eastAsia="fangsong_gb2312" w:cs="fangsong_gb2312"/>
          <w:color w:val="333333"/>
          <w:spacing w:val="0"/>
          <w:kern w:val="0"/>
          <w:sz w:val="31"/>
          <w:szCs w:val="31"/>
          <w:bdr w:val="none" w:color="auto" w:sz="0" w:space="0"/>
          <w:lang w:val="en-US" w:eastAsia="zh-CN" w:bidi="ar"/>
        </w:rPr>
        <w:t>学校深入推进科研创新服务发展，现有院士专家工作站1个，拥有省级2011协同创新中心、社科研究基地、重点实验室、高校特色新型智库、高校工程研究中心、工程技术研究中心、公共服务平台、高校重点实验室、高校人文社科研究基地等科研平台21个，拥有省级学会和研究会5个。学校与省委省政府信访局、司法厅、农信联社、知识产权局、民盟福建分别共建信访工作理论与实践研究院、司法行政工作研究基地、金融服务乡村振兴研究院、知识产权法律与实务研究院、乡村文化研究院。多项成果被《成果要报》《八闽快讯》刊发，获省领导批示及中共中央办公厅、省厅局采纳。学校主管、主办《福建江夏学院学报》《海峡法学》等中文学术CN期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615"/>
        <w:jc w:val="both"/>
        <w:rPr>
          <w:color w:val="333333"/>
          <w:sz w:val="21"/>
          <w:szCs w:val="21"/>
        </w:rPr>
      </w:pPr>
      <w:r>
        <w:rPr>
          <w:rFonts w:hint="default" w:ascii="fangsong_gb2312" w:hAnsi="fangsong_gb2312" w:eastAsia="fangsong_gb2312" w:cs="fangsong_gb2312"/>
          <w:color w:val="333333"/>
          <w:spacing w:val="0"/>
          <w:sz w:val="31"/>
          <w:szCs w:val="31"/>
          <w:bdr w:val="none" w:color="auto" w:sz="0" w:space="0"/>
        </w:rPr>
        <w:t>学校持续扩大开放办学，全面推进与清华大学、中国人民大学、福州大学、福建师范大学等一流大学的合作交流。在国际合作方面，与美国、英国、新西兰、澳大利亚、法国、白俄罗斯、马来西亚、泰国、香港、台湾等国家或地区22所高校签订校际合作协议或合作备忘录。与CIMA英国皇家特许管理会计师公会签订战略合作协议，引入英国高等教育文凭SQA-（HND）AD项目。2019年获批招聘外籍教师和招收国际学生资格。2020年与英国威尔士三一圣大卫大学合作举办动画专业本科教育项目获教育部批准，系我省首个艺术类专业中外合作办学项目。在新冠疫情防控常态化背景下，与英国、白俄罗斯和澳大利亚等国家合作大学开设线上优质教学课程项目。在台港澳合作方面，与台湾地区东海大学、中原大学、万能科技大学等高校实施闽台联合培养人才“3+1”“4+0”项目。成立了“福建江夏学院与中原大学高等教育发展研究中心”，省教育厅授牌在学校设立“海峡两岸金融教育培训基地”。2020年获批台港澳学生招生资格。2021年，进一步促进海峡两岸教育融合发展，引进台湾空中英语项目；文化交流营项目获教育部批准立项，并予资金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615"/>
        <w:jc w:val="both"/>
        <w:rPr>
          <w:color w:val="333333"/>
          <w:sz w:val="21"/>
          <w:szCs w:val="21"/>
        </w:rPr>
      </w:pPr>
      <w:r>
        <w:rPr>
          <w:rFonts w:hint="default" w:ascii="fangsong_gb2312" w:hAnsi="fangsong_gb2312" w:eastAsia="fangsong_gb2312" w:cs="fangsong_gb2312"/>
          <w:color w:val="333333"/>
          <w:spacing w:val="0"/>
          <w:sz w:val="31"/>
          <w:szCs w:val="31"/>
          <w:bdr w:val="none" w:color="auto" w:sz="0" w:space="0"/>
        </w:rPr>
        <w:t>迈进新时代，开启新征程。2021年，学校胜利召开第二次党代会，提出了至二〇三五年的“两步走”发展目标，制定实施了“1357”方略，正坚定不移地朝着建设特色鲜明示范引领的区域一流应用型本科大学奋勇前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firstLine="0"/>
        <w:jc w:val="left"/>
        <w:rPr>
          <w:color w:val="333333"/>
          <w:sz w:val="21"/>
          <w:szCs w:val="21"/>
        </w:rPr>
      </w:pPr>
      <w:r>
        <w:rPr>
          <w:rFonts w:hint="eastAsia" w:ascii="宋体" w:hAnsi="宋体" w:eastAsia="宋体" w:cs="宋体"/>
          <w:color w:val="333333"/>
          <w:spacing w:val="0"/>
          <w:kern w:val="0"/>
          <w:sz w:val="31"/>
          <w:szCs w:val="3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firstLine="0"/>
        <w:jc w:val="left"/>
        <w:rPr>
          <w:color w:val="333333"/>
          <w:sz w:val="21"/>
          <w:szCs w:val="21"/>
        </w:rPr>
      </w:pPr>
      <w:r>
        <w:rPr>
          <w:rFonts w:hint="eastAsia" w:ascii="宋体" w:hAnsi="宋体" w:eastAsia="宋体" w:cs="宋体"/>
          <w:color w:val="333333"/>
          <w:spacing w:val="0"/>
          <w:kern w:val="0"/>
          <w:sz w:val="31"/>
          <w:szCs w:val="31"/>
          <w:bdr w:val="none" w:color="auto" w:sz="0" w:space="0"/>
          <w:lang w:val="en-US" w:eastAsia="zh-CN" w:bidi="ar"/>
        </w:rPr>
        <w:t>                                           </w:t>
      </w:r>
      <w:r>
        <w:rPr>
          <w:rFonts w:hint="default" w:ascii="fangsong_gb2312" w:hAnsi="fangsong_gb2312" w:eastAsia="fangsong_gb2312" w:cs="fangsong_gb2312"/>
          <w:color w:val="333333"/>
          <w:spacing w:val="0"/>
          <w:kern w:val="0"/>
          <w:sz w:val="31"/>
          <w:szCs w:val="31"/>
          <w:bdr w:val="none" w:color="auto" w:sz="0" w:space="0"/>
          <w:lang w:val="en-US" w:eastAsia="zh-CN" w:bidi="ar"/>
        </w:rPr>
        <w:t> （2022年3月31日更新）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0"/>
        <w:rPr>
          <w:color w:val="333333"/>
          <w:sz w:val="21"/>
          <w:szCs w:val="21"/>
        </w:rPr>
      </w:pP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fangsong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yZDI4YTliOTQ1YzJkYWU1NmNlMjVjMDdiNjIxYmEifQ=="/>
  </w:docVars>
  <w:rsids>
    <w:rsidRoot w:val="00000000"/>
    <w:rsid w:val="685255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2022-05-05T07:30:19Z</dcterms:created>
  <dc:creator>Administrator</dc:creator>
  <cp:lastModifiedBy>猕猴果果</cp:lastModifiedBy>
  <dcterms:modified xsi:type="dcterms:W3CDTF">2022-05-05T07:31:09Z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6199503CE808408CA5060B62E5429CF4</vt:lpwstr>
  </property>
</Properties>
</file>