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90" w:lineRule="exact"/>
        <w:rPr>
          <w:rFonts w:hint="eastAsia" w:ascii="方正小标宋简体" w:hAnsi="方正小标宋简体" w:eastAsia="方正小标宋简体" w:cs="方正小标宋简体"/>
          <w:spacing w:val="-20"/>
          <w:sz w:val="32"/>
          <w:szCs w:val="32"/>
        </w:rPr>
      </w:pPr>
      <w:r>
        <w:rPr>
          <w:rFonts w:hint="eastAsia" w:ascii="方正小标宋简体" w:hAnsi="方正小标宋简体" w:eastAsia="方正小标宋简体" w:cs="方正小标宋简体"/>
          <w:spacing w:val="-20"/>
          <w:sz w:val="32"/>
          <w:szCs w:val="32"/>
        </w:rPr>
        <w:t>附件</w:t>
      </w:r>
      <w:r>
        <w:rPr>
          <w:rFonts w:hint="eastAsia" w:ascii="方正小标宋简体" w:hAnsi="方正小标宋简体" w:eastAsia="方正小标宋简体" w:cs="方正小标宋简体"/>
          <w:spacing w:val="-20"/>
          <w:sz w:val="32"/>
          <w:szCs w:val="32"/>
          <w:lang w:val="en-US" w:eastAsia="zh-CN"/>
        </w:rPr>
        <w:t xml:space="preserve">1   </w:t>
      </w:r>
      <w:r>
        <w:rPr>
          <w:rFonts w:hint="eastAsia" w:ascii="方正小标宋简体" w:hAnsi="方正小标宋简体" w:eastAsia="方正小标宋简体" w:cs="方正小标宋简体"/>
          <w:spacing w:val="-20"/>
          <w:sz w:val="32"/>
          <w:szCs w:val="32"/>
        </w:rPr>
        <w:t>莆田市高速公路有限责任公司公开招聘莆田市轨道交通有限公司员工岗位</w:t>
      </w:r>
      <w:r>
        <w:rPr>
          <w:rFonts w:hint="eastAsia" w:ascii="方正小标宋简体" w:hAnsi="方正小标宋简体" w:eastAsia="方正小标宋简体" w:cs="方正小标宋简体"/>
          <w:spacing w:val="-20"/>
          <w:sz w:val="32"/>
          <w:szCs w:val="32"/>
          <w:lang w:val="en-US" w:eastAsia="zh-CN"/>
        </w:rPr>
        <w:t>招考</w:t>
      </w:r>
      <w:r>
        <w:rPr>
          <w:rFonts w:hint="eastAsia" w:ascii="方正小标宋简体" w:hAnsi="方正小标宋简体" w:eastAsia="方正小标宋简体" w:cs="方正小标宋简体"/>
          <w:spacing w:val="-20"/>
          <w:sz w:val="32"/>
          <w:szCs w:val="32"/>
        </w:rPr>
        <w:t>条件调整情况一览表</w:t>
      </w:r>
    </w:p>
    <w:p>
      <w:pPr>
        <w:spacing w:line="280" w:lineRule="exact"/>
        <w:jc w:val="center"/>
        <w:rPr>
          <w:rFonts w:hint="eastAsia" w:ascii="方正小标宋简体" w:hAnsi="方正小标宋简体" w:eastAsia="方正小标宋简体" w:cs="方正小标宋简体"/>
          <w:spacing w:val="-20"/>
          <w:sz w:val="36"/>
          <w:szCs w:val="36"/>
        </w:rPr>
      </w:pPr>
    </w:p>
    <w:tbl>
      <w:tblPr>
        <w:tblW w:w="13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30"/>
        <w:gridCol w:w="765"/>
        <w:gridCol w:w="5895"/>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44" w:type="dxa"/>
            <w:vMerge w:val="restart"/>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岗位代码</w:t>
            </w:r>
          </w:p>
        </w:tc>
        <w:tc>
          <w:tcPr>
            <w:tcW w:w="1995" w:type="dxa"/>
            <w:gridSpan w:val="2"/>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岗位</w:t>
            </w:r>
          </w:p>
        </w:tc>
        <w:tc>
          <w:tcPr>
            <w:tcW w:w="10623" w:type="dxa"/>
            <w:gridSpan w:val="2"/>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744" w:type="dxa"/>
            <w:vMerge w:val="continue"/>
            <w:vAlign w:val="center"/>
          </w:tcPr>
          <w:p>
            <w:pPr>
              <w:widowControl/>
              <w:jc w:val="left"/>
              <w:rPr>
                <w:rFonts w:ascii="黑体" w:hAnsi="黑体" w:eastAsia="黑体" w:cs="宋体"/>
                <w:kern w:val="0"/>
                <w:sz w:val="24"/>
                <w:szCs w:val="24"/>
              </w:rPr>
            </w:pPr>
          </w:p>
        </w:tc>
        <w:tc>
          <w:tcPr>
            <w:tcW w:w="1230" w:type="dxa"/>
            <w:vAlign w:val="center"/>
          </w:tcPr>
          <w:p>
            <w:pPr>
              <w:widowControl/>
              <w:jc w:val="center"/>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岗位名称</w:t>
            </w:r>
          </w:p>
        </w:tc>
        <w:tc>
          <w:tcPr>
            <w:tcW w:w="765" w:type="dxa"/>
            <w:vAlign w:val="center"/>
          </w:tcPr>
          <w:p>
            <w:pPr>
              <w:widowControl/>
              <w:jc w:val="center"/>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人数</w:t>
            </w:r>
          </w:p>
        </w:tc>
        <w:tc>
          <w:tcPr>
            <w:tcW w:w="5895" w:type="dxa"/>
            <w:vAlign w:val="center"/>
          </w:tcPr>
          <w:p>
            <w:pPr>
              <w:widowControl/>
              <w:jc w:val="center"/>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原设定条件</w:t>
            </w:r>
          </w:p>
        </w:tc>
        <w:tc>
          <w:tcPr>
            <w:tcW w:w="4728" w:type="dxa"/>
            <w:vAlign w:val="center"/>
          </w:tcPr>
          <w:p>
            <w:pPr>
              <w:widowControl/>
              <w:jc w:val="center"/>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调整后条件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5" w:hRule="exact"/>
          <w:jc w:val="center"/>
        </w:trPr>
        <w:tc>
          <w:tcPr>
            <w:tcW w:w="744"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1</w:t>
            </w:r>
          </w:p>
        </w:tc>
        <w:tc>
          <w:tcPr>
            <w:tcW w:w="1230"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文创人员</w:t>
            </w:r>
          </w:p>
        </w:tc>
        <w:tc>
          <w:tcPr>
            <w:tcW w:w="765"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1</w:t>
            </w:r>
          </w:p>
        </w:tc>
        <w:tc>
          <w:tcPr>
            <w:tcW w:w="5895" w:type="dxa"/>
            <w:vAlign w:val="center"/>
          </w:tcPr>
          <w:p>
            <w:pPr>
              <w:widowControl/>
              <w:rPr>
                <w:rFonts w:hint="eastAsia" w:ascii="仿宋_GB2312" w:hAnsi="仿宋_GB2312" w:cs="仿宋_GB2312"/>
                <w:kern w:val="0"/>
                <w:sz w:val="21"/>
                <w:szCs w:val="21"/>
              </w:rPr>
            </w:pPr>
            <w:r>
              <w:rPr>
                <w:rFonts w:hint="eastAsia" w:ascii="仿宋_GB2312" w:hAnsi="仿宋_GB2312" w:cs="仿宋_GB2312"/>
                <w:kern w:val="0"/>
                <w:sz w:val="21"/>
                <w:szCs w:val="21"/>
              </w:rPr>
              <w:t>1.信息传播与策划，传媒策划与管理，媒体创意，数字传媒艺术，多媒体设计与制作，广告媒体开发，广告设计与制作专业；</w:t>
            </w:r>
          </w:p>
          <w:p>
            <w:pPr>
              <w:widowControl/>
              <w:rPr>
                <w:rFonts w:hint="eastAsia" w:ascii="仿宋_GB2312" w:hAnsi="仿宋_GB2312" w:cs="仿宋_GB2312"/>
                <w:kern w:val="0"/>
                <w:sz w:val="21"/>
                <w:szCs w:val="21"/>
              </w:rPr>
            </w:pPr>
          </w:p>
          <w:p>
            <w:pPr>
              <w:widowControl/>
              <w:rPr>
                <w:rFonts w:hint="eastAsia" w:ascii="仿宋_GB2312" w:hAnsi="仿宋_GB2312" w:cs="仿宋_GB2312"/>
                <w:kern w:val="0"/>
                <w:sz w:val="21"/>
                <w:szCs w:val="21"/>
              </w:rPr>
            </w:pPr>
          </w:p>
          <w:p>
            <w:pPr>
              <w:widowControl/>
              <w:rPr>
                <w:rFonts w:hint="eastAsia" w:ascii="仿宋_GB2312" w:hAnsi="仿宋_GB2312" w:cs="仿宋_GB2312"/>
                <w:kern w:val="0"/>
                <w:sz w:val="21"/>
                <w:szCs w:val="21"/>
              </w:rPr>
            </w:pPr>
          </w:p>
          <w:p>
            <w:pPr>
              <w:widowControl/>
              <w:rPr>
                <w:rFonts w:hint="eastAsia" w:ascii="仿宋_GB2312" w:hAnsi="仿宋_GB2312" w:cs="仿宋_GB2312"/>
                <w:kern w:val="0"/>
                <w:sz w:val="21"/>
                <w:szCs w:val="21"/>
              </w:rPr>
            </w:pPr>
          </w:p>
          <w:p>
            <w:pPr>
              <w:widowControl/>
              <w:rPr>
                <w:rFonts w:hint="eastAsia" w:ascii="仿宋_GB2312" w:hAnsi="仿宋_GB2312" w:cs="仿宋_GB2312"/>
                <w:color w:val="000000"/>
                <w:sz w:val="21"/>
                <w:szCs w:val="21"/>
                <w:shd w:val="clear" w:color="auto" w:fill="FFFFFF"/>
              </w:rPr>
            </w:pPr>
            <w:r>
              <w:rPr>
                <w:rFonts w:hint="eastAsia" w:ascii="仿宋_GB2312" w:hAnsi="仿宋_GB2312" w:cs="仿宋_GB2312"/>
                <w:kern w:val="0"/>
                <w:sz w:val="21"/>
                <w:szCs w:val="21"/>
              </w:rPr>
              <w:t>2.全日制本科及以上、学士及以上学位。</w:t>
            </w:r>
          </w:p>
        </w:tc>
        <w:tc>
          <w:tcPr>
            <w:tcW w:w="4728" w:type="dxa"/>
            <w:vAlign w:val="center"/>
          </w:tcPr>
          <w:p>
            <w:pPr>
              <w:widowControl/>
              <w:tabs>
                <w:tab w:val="left" w:pos="240"/>
              </w:tabs>
              <w:rPr>
                <w:rFonts w:hint="eastAsia" w:ascii="仿宋_GB2312" w:hAnsi="仿宋_GB2312" w:cs="仿宋_GB2312"/>
                <w:color w:val="000000"/>
                <w:sz w:val="21"/>
                <w:szCs w:val="21"/>
                <w:shd w:val="clear" w:color="auto" w:fill="FFFFFF"/>
              </w:rPr>
            </w:pPr>
            <w:r>
              <w:rPr>
                <w:rFonts w:hint="eastAsia" w:ascii="仿宋_GB2312" w:hAnsi="仿宋_GB2312" w:cs="仿宋_GB2312"/>
                <w:color w:val="000000"/>
                <w:sz w:val="21"/>
                <w:szCs w:val="21"/>
                <w:shd w:val="clear" w:color="auto" w:fill="FFFFFF"/>
              </w:rPr>
              <w:t>1.</w:t>
            </w:r>
            <w:r>
              <w:rPr>
                <w:rFonts w:hint="eastAsia" w:ascii="仿宋_GB2312" w:hAnsi="仿宋_GB2312" w:cs="仿宋_GB2312"/>
                <w:color w:val="000000"/>
                <w:sz w:val="21"/>
                <w:szCs w:val="21"/>
                <w:shd w:val="clear" w:color="auto" w:fill="FFFFFF"/>
                <w:lang w:eastAsia="zh-CN"/>
              </w:rPr>
              <w:t>数字媒体（技术）、计算机多媒体制作、计算机多媒体技术、多媒体技术、多媒体制作、多媒体与网络技术、数字媒体艺术、广告媒体开发、计算机多媒体、计算机网络与多媒体应用、数字媒体与制作专业，和</w:t>
            </w:r>
            <w:r>
              <w:rPr>
                <w:rFonts w:hint="eastAsia" w:ascii="仿宋_GB2312" w:hAnsi="仿宋_GB2312" w:cs="仿宋_GB2312"/>
                <w:color w:val="000000"/>
                <w:sz w:val="21"/>
                <w:szCs w:val="21"/>
                <w:shd w:val="clear" w:color="auto" w:fill="FFFFFF"/>
              </w:rPr>
              <w:t>新闻传播学类；</w:t>
            </w:r>
          </w:p>
          <w:p>
            <w:pPr>
              <w:widowControl/>
              <w:tabs>
                <w:tab w:val="left" w:pos="240"/>
              </w:tabs>
              <w:rPr>
                <w:rFonts w:hint="eastAsia" w:ascii="仿宋_GB2312" w:hAnsi="仿宋_GB2312" w:cs="仿宋_GB2312"/>
                <w:color w:val="000000"/>
                <w:sz w:val="21"/>
                <w:szCs w:val="21"/>
                <w:shd w:val="clear" w:color="auto" w:fill="FFFFFF"/>
              </w:rPr>
            </w:pPr>
            <w:bookmarkStart w:id="0" w:name="_GoBack"/>
            <w:bookmarkEnd w:id="0"/>
          </w:p>
          <w:p>
            <w:pPr>
              <w:widowControl/>
              <w:tabs>
                <w:tab w:val="left" w:pos="240"/>
              </w:tabs>
              <w:rPr>
                <w:rFonts w:hint="eastAsia" w:ascii="仿宋_GB2312" w:hAnsi="仿宋_GB2312" w:cs="仿宋_GB2312"/>
                <w:color w:val="000000"/>
                <w:sz w:val="21"/>
                <w:szCs w:val="21"/>
                <w:shd w:val="clear" w:color="auto" w:fill="FFFFFF"/>
              </w:rPr>
            </w:pPr>
            <w:r>
              <w:rPr>
                <w:rFonts w:hint="eastAsia" w:ascii="仿宋_GB2312" w:hAnsi="仿宋_GB2312" w:cs="仿宋_GB2312"/>
                <w:kern w:val="0"/>
                <w:sz w:val="21"/>
                <w:szCs w:val="21"/>
              </w:rPr>
              <w:t>2.全日制本科及以上、学士及以上学位。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exact"/>
          <w:jc w:val="center"/>
        </w:trPr>
        <w:tc>
          <w:tcPr>
            <w:tcW w:w="744"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2</w:t>
            </w:r>
          </w:p>
        </w:tc>
        <w:tc>
          <w:tcPr>
            <w:tcW w:w="1230"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人事人员</w:t>
            </w:r>
          </w:p>
        </w:tc>
        <w:tc>
          <w:tcPr>
            <w:tcW w:w="765"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1</w:t>
            </w:r>
          </w:p>
        </w:tc>
        <w:tc>
          <w:tcPr>
            <w:tcW w:w="5895" w:type="dxa"/>
            <w:vAlign w:val="center"/>
          </w:tcPr>
          <w:p>
            <w:pPr>
              <w:widowControl/>
              <w:jc w:val="left"/>
              <w:rPr>
                <w:rFonts w:hint="eastAsia" w:ascii="仿宋_GB2312" w:hAnsi="仿宋_GB2312" w:cs="仿宋_GB2312"/>
                <w:kern w:val="0"/>
                <w:sz w:val="21"/>
                <w:szCs w:val="21"/>
              </w:rPr>
            </w:pPr>
            <w:r>
              <w:rPr>
                <w:rFonts w:hint="eastAsia" w:ascii="仿宋_GB2312" w:hAnsi="仿宋_GB2312" w:cs="仿宋_GB2312"/>
                <w:kern w:val="0"/>
                <w:sz w:val="21"/>
                <w:szCs w:val="21"/>
              </w:rPr>
              <w:t>1.全日制本科及以上、学士及以上学位；</w:t>
            </w:r>
          </w:p>
          <w:p>
            <w:pPr>
              <w:widowControl/>
              <w:jc w:val="left"/>
              <w:rPr>
                <w:rFonts w:hint="eastAsia" w:ascii="仿宋_GB2312" w:hAnsi="仿宋_GB2312" w:cs="仿宋_GB2312"/>
                <w:kern w:val="0"/>
                <w:sz w:val="21"/>
                <w:szCs w:val="21"/>
              </w:rPr>
            </w:pPr>
            <w:r>
              <w:rPr>
                <w:rFonts w:hint="eastAsia" w:ascii="仿宋_GB2312" w:hAnsi="仿宋_GB2312" w:cs="仿宋_GB2312"/>
                <w:kern w:val="0"/>
                <w:sz w:val="21"/>
                <w:szCs w:val="21"/>
              </w:rPr>
              <w:t>2.具有对应专业中级及以上职称；</w:t>
            </w:r>
          </w:p>
          <w:p>
            <w:pPr>
              <w:widowControl/>
              <w:jc w:val="left"/>
              <w:rPr>
                <w:rFonts w:hint="eastAsia" w:ascii="仿宋_GB2312" w:hAnsi="仿宋_GB2312" w:cs="仿宋_GB2312"/>
                <w:color w:val="000000"/>
                <w:sz w:val="21"/>
                <w:szCs w:val="21"/>
                <w:shd w:val="clear" w:color="auto" w:fill="FFFFFF"/>
              </w:rPr>
            </w:pPr>
            <w:r>
              <w:rPr>
                <w:rFonts w:hint="eastAsia" w:ascii="仿宋_GB2312" w:hAnsi="仿宋_GB2312" w:cs="仿宋_GB2312"/>
                <w:color w:val="000000"/>
                <w:sz w:val="21"/>
                <w:szCs w:val="21"/>
                <w:shd w:val="clear" w:color="auto" w:fill="FFFFFF"/>
              </w:rPr>
              <w:t>3.具有3年及以上在政府、事业单位、国有企业从事人力资源管理等相关工作经验；</w:t>
            </w:r>
          </w:p>
          <w:p>
            <w:pPr>
              <w:widowControl/>
              <w:jc w:val="left"/>
              <w:rPr>
                <w:rFonts w:hint="eastAsia" w:ascii="仿宋_GB2312" w:hAnsi="仿宋_GB2312" w:cs="仿宋_GB2312"/>
                <w:color w:val="000000"/>
                <w:sz w:val="21"/>
                <w:szCs w:val="21"/>
                <w:shd w:val="clear" w:color="auto" w:fill="FFFFFF"/>
              </w:rPr>
            </w:pPr>
            <w:r>
              <w:rPr>
                <w:rFonts w:hint="eastAsia" w:ascii="仿宋_GB2312" w:hAnsi="仿宋_GB2312" w:cs="仿宋_GB2312"/>
                <w:color w:val="000000"/>
                <w:sz w:val="21"/>
                <w:szCs w:val="21"/>
                <w:shd w:val="clear" w:color="auto" w:fill="FFFFFF"/>
              </w:rPr>
              <w:t>4.</w:t>
            </w:r>
            <w:r>
              <w:rPr>
                <w:rFonts w:hint="eastAsia" w:ascii="仿宋_GB2312" w:hAnsi="仿宋_GB2312" w:cs="仿宋_GB2312"/>
                <w:kern w:val="0"/>
                <w:sz w:val="21"/>
                <w:szCs w:val="21"/>
              </w:rPr>
              <w:t>人力资源管理专业。</w:t>
            </w:r>
          </w:p>
        </w:tc>
        <w:tc>
          <w:tcPr>
            <w:tcW w:w="4728" w:type="dxa"/>
            <w:vAlign w:val="center"/>
          </w:tcPr>
          <w:p>
            <w:pPr>
              <w:widowControl/>
              <w:rPr>
                <w:rFonts w:hint="eastAsia" w:ascii="仿宋_GB2312" w:hAnsi="仿宋_GB2312" w:cs="仿宋_GB2312"/>
                <w:kern w:val="0"/>
                <w:sz w:val="21"/>
                <w:szCs w:val="21"/>
              </w:rPr>
            </w:pPr>
            <w:r>
              <w:rPr>
                <w:rFonts w:hint="eastAsia" w:ascii="仿宋_GB2312" w:hAnsi="仿宋_GB2312" w:cs="仿宋_GB2312"/>
                <w:kern w:val="0"/>
                <w:sz w:val="21"/>
                <w:szCs w:val="21"/>
              </w:rPr>
              <w:t>1.全日制本科及以上、学士及以上学位；</w:t>
            </w:r>
          </w:p>
          <w:p>
            <w:pPr>
              <w:widowControl/>
              <w:rPr>
                <w:rFonts w:hint="eastAsia" w:ascii="仿宋_GB2312" w:hAnsi="仿宋_GB2312" w:cs="仿宋_GB2312"/>
                <w:color w:val="000000"/>
                <w:sz w:val="21"/>
                <w:szCs w:val="21"/>
                <w:shd w:val="clear" w:color="auto" w:fill="FFFFFF"/>
              </w:rPr>
            </w:pPr>
            <w:r>
              <w:rPr>
                <w:rFonts w:hint="eastAsia" w:ascii="仿宋_GB2312" w:hAnsi="仿宋_GB2312" w:cs="仿宋_GB2312"/>
                <w:kern w:val="0"/>
                <w:sz w:val="21"/>
                <w:szCs w:val="21"/>
              </w:rPr>
              <w:t>2.具有中级及以上人力资源管理</w:t>
            </w:r>
            <w:r>
              <w:rPr>
                <w:rFonts w:hint="eastAsia" w:ascii="仿宋_GB2312" w:hAnsi="仿宋_GB2312" w:cs="仿宋_GB2312"/>
                <w:kern w:val="0"/>
                <w:sz w:val="21"/>
                <w:szCs w:val="21"/>
                <w:lang w:val="en-US" w:eastAsia="zh-CN"/>
              </w:rPr>
              <w:t>相关</w:t>
            </w:r>
            <w:r>
              <w:rPr>
                <w:rFonts w:hint="eastAsia" w:ascii="仿宋_GB2312" w:hAnsi="仿宋_GB2312" w:cs="仿宋_GB2312"/>
                <w:kern w:val="0"/>
                <w:sz w:val="21"/>
                <w:szCs w:val="21"/>
              </w:rPr>
              <w:t>专业职称；</w:t>
            </w:r>
          </w:p>
          <w:p>
            <w:pPr>
              <w:widowControl/>
              <w:rPr>
                <w:rFonts w:hint="eastAsia" w:ascii="仿宋_GB2312" w:hAnsi="仿宋_GB2312" w:cs="仿宋_GB2312"/>
                <w:color w:val="000000"/>
                <w:sz w:val="21"/>
                <w:szCs w:val="21"/>
                <w:shd w:val="clear" w:color="auto" w:fill="FFFFFF"/>
              </w:rPr>
            </w:pPr>
            <w:r>
              <w:rPr>
                <w:rFonts w:hint="eastAsia" w:ascii="仿宋_GB2312" w:hAnsi="仿宋_GB2312" w:cs="仿宋_GB2312"/>
                <w:color w:val="000000"/>
                <w:sz w:val="21"/>
                <w:szCs w:val="21"/>
                <w:shd w:val="clear" w:color="auto" w:fill="FFFFFF"/>
              </w:rPr>
              <w:t>3.具有3年及以上在政府、事业单位、国有企业从事人力资源管理等相关工作经验。</w:t>
            </w:r>
          </w:p>
          <w:p>
            <w:pPr>
              <w:widowControl/>
              <w:rPr>
                <w:rFonts w:hint="eastAsia" w:ascii="仿宋_GB2312" w:hAnsi="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exact"/>
          <w:jc w:val="center"/>
        </w:trPr>
        <w:tc>
          <w:tcPr>
            <w:tcW w:w="744"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3</w:t>
            </w:r>
          </w:p>
        </w:tc>
        <w:tc>
          <w:tcPr>
            <w:tcW w:w="1230"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法律人员</w:t>
            </w:r>
          </w:p>
        </w:tc>
        <w:tc>
          <w:tcPr>
            <w:tcW w:w="765" w:type="dxa"/>
            <w:vAlign w:val="center"/>
          </w:tcPr>
          <w:p>
            <w:pPr>
              <w:widowControl/>
              <w:jc w:val="center"/>
              <w:rPr>
                <w:rFonts w:hint="eastAsia" w:ascii="仿宋_GB2312" w:hAnsi="仿宋_GB2312" w:cs="仿宋_GB2312"/>
                <w:kern w:val="0"/>
                <w:sz w:val="21"/>
                <w:szCs w:val="21"/>
              </w:rPr>
            </w:pPr>
            <w:r>
              <w:rPr>
                <w:rFonts w:hint="eastAsia" w:ascii="仿宋_GB2312" w:hAnsi="仿宋_GB2312" w:cs="仿宋_GB2312"/>
                <w:kern w:val="0"/>
                <w:sz w:val="21"/>
                <w:szCs w:val="21"/>
              </w:rPr>
              <w:t>1</w:t>
            </w:r>
          </w:p>
        </w:tc>
        <w:tc>
          <w:tcPr>
            <w:tcW w:w="5895" w:type="dxa"/>
            <w:vAlign w:val="center"/>
          </w:tcPr>
          <w:p>
            <w:pPr>
              <w:widowControl/>
              <w:rPr>
                <w:rFonts w:hint="eastAsia" w:ascii="仿宋_GB2312" w:hAnsi="仿宋_GB2312" w:cs="仿宋_GB2312"/>
                <w:kern w:val="0"/>
                <w:sz w:val="21"/>
                <w:szCs w:val="21"/>
              </w:rPr>
            </w:pPr>
            <w:r>
              <w:rPr>
                <w:rFonts w:hint="eastAsia" w:ascii="仿宋_GB2312" w:hAnsi="仿宋_GB2312" w:cs="仿宋_GB2312"/>
                <w:kern w:val="0"/>
                <w:sz w:val="21"/>
                <w:szCs w:val="21"/>
              </w:rPr>
              <w:t>1.法学专业；</w:t>
            </w:r>
          </w:p>
          <w:p>
            <w:pPr>
              <w:widowControl/>
              <w:rPr>
                <w:rFonts w:hint="eastAsia" w:ascii="仿宋_GB2312" w:hAnsi="仿宋_GB2312" w:cs="仿宋_GB2312"/>
                <w:kern w:val="0"/>
                <w:sz w:val="21"/>
                <w:szCs w:val="21"/>
              </w:rPr>
            </w:pPr>
          </w:p>
          <w:p>
            <w:pPr>
              <w:widowControl/>
              <w:rPr>
                <w:rFonts w:hint="eastAsia" w:ascii="仿宋_GB2312" w:hAnsi="仿宋_GB2312" w:cs="仿宋_GB2312"/>
                <w:kern w:val="0"/>
                <w:sz w:val="21"/>
                <w:szCs w:val="21"/>
              </w:rPr>
            </w:pPr>
            <w:r>
              <w:rPr>
                <w:rFonts w:hint="eastAsia" w:ascii="仿宋_GB2312" w:hAnsi="仿宋_GB2312" w:cs="仿宋_GB2312"/>
                <w:kern w:val="0"/>
                <w:sz w:val="21"/>
                <w:szCs w:val="21"/>
              </w:rPr>
              <w:t>2.全日制本科及以上、学士及以上学位；</w:t>
            </w:r>
          </w:p>
          <w:p>
            <w:pPr>
              <w:widowControl/>
              <w:rPr>
                <w:rFonts w:hint="eastAsia" w:ascii="仿宋_GB2312" w:hAnsi="仿宋_GB2312" w:cs="仿宋_GB2312"/>
                <w:color w:val="000000"/>
                <w:sz w:val="21"/>
                <w:szCs w:val="21"/>
                <w:shd w:val="clear" w:color="auto" w:fill="FFFFFF"/>
              </w:rPr>
            </w:pPr>
            <w:r>
              <w:rPr>
                <w:rFonts w:hint="eastAsia" w:ascii="仿宋_GB2312" w:hAnsi="仿宋_GB2312" w:cs="仿宋_GB2312"/>
                <w:color w:val="000000"/>
                <w:sz w:val="21"/>
                <w:szCs w:val="21"/>
                <w:shd w:val="clear" w:color="auto" w:fill="FFFFFF"/>
              </w:rPr>
              <w:t>3.本岗位仅招收五院四系政法院校毕业、法学专业民商法（学）方向的考生。</w:t>
            </w:r>
          </w:p>
        </w:tc>
        <w:tc>
          <w:tcPr>
            <w:tcW w:w="4728" w:type="dxa"/>
            <w:vAlign w:val="center"/>
          </w:tcPr>
          <w:p>
            <w:pPr>
              <w:widowControl/>
              <w:rPr>
                <w:rFonts w:hint="eastAsia" w:ascii="仿宋_GB2312" w:hAnsi="仿宋_GB2312" w:cs="仿宋_GB2312"/>
                <w:color w:val="000000"/>
                <w:sz w:val="21"/>
                <w:szCs w:val="21"/>
                <w:shd w:val="clear" w:color="auto" w:fill="FFFFFF"/>
              </w:rPr>
            </w:pPr>
            <w:r>
              <w:rPr>
                <w:rFonts w:hint="eastAsia" w:ascii="仿宋_GB2312" w:hAnsi="仿宋_GB2312" w:cs="仿宋_GB2312"/>
                <w:color w:val="000000"/>
                <w:sz w:val="21"/>
                <w:szCs w:val="21"/>
                <w:shd w:val="clear" w:color="auto" w:fill="FFFFFF"/>
              </w:rPr>
              <w:t>1.法学（民法、商法、经济法方向）、民商法学、经济法学、民商经济法学</w:t>
            </w:r>
            <w:r>
              <w:rPr>
                <w:rFonts w:hint="eastAsia" w:ascii="仿宋_GB2312" w:hAnsi="仿宋_GB2312" w:cs="仿宋_GB2312"/>
                <w:kern w:val="0"/>
                <w:sz w:val="21"/>
                <w:szCs w:val="21"/>
              </w:rPr>
              <w:t>专业；</w:t>
            </w:r>
          </w:p>
          <w:p>
            <w:pPr>
              <w:widowControl/>
              <w:rPr>
                <w:rFonts w:hint="eastAsia" w:ascii="仿宋_GB2312" w:hAnsi="仿宋_GB2312" w:cs="仿宋_GB2312"/>
                <w:kern w:val="0"/>
                <w:sz w:val="21"/>
                <w:szCs w:val="21"/>
              </w:rPr>
            </w:pPr>
            <w:r>
              <w:rPr>
                <w:rFonts w:hint="eastAsia" w:ascii="仿宋_GB2312" w:hAnsi="仿宋_GB2312" w:cs="仿宋_GB2312"/>
                <w:color w:val="000000"/>
                <w:sz w:val="21"/>
                <w:szCs w:val="21"/>
                <w:shd w:val="clear" w:color="auto" w:fill="FFFFFF"/>
              </w:rPr>
              <w:t>2.</w:t>
            </w:r>
            <w:r>
              <w:rPr>
                <w:rFonts w:hint="eastAsia" w:ascii="仿宋_GB2312" w:hAnsi="仿宋_GB2312" w:cs="仿宋_GB2312"/>
                <w:kern w:val="0"/>
                <w:sz w:val="21"/>
                <w:szCs w:val="21"/>
              </w:rPr>
              <w:t>全日制本科及以上、学士及以上学位；</w:t>
            </w:r>
          </w:p>
          <w:p>
            <w:pPr>
              <w:widowControl/>
              <w:rPr>
                <w:rFonts w:hint="eastAsia" w:ascii="仿宋_GB2312" w:hAnsi="仿宋_GB2312" w:cs="仿宋_GB2312"/>
                <w:color w:val="000000"/>
                <w:sz w:val="21"/>
                <w:szCs w:val="21"/>
                <w:shd w:val="clear" w:color="auto" w:fill="FFFFFF"/>
              </w:rPr>
            </w:pPr>
            <w:r>
              <w:rPr>
                <w:rFonts w:hint="eastAsia" w:ascii="仿宋_GB2312" w:hAnsi="仿宋_GB2312" w:cs="仿宋_GB2312"/>
                <w:color w:val="000000"/>
                <w:sz w:val="21"/>
                <w:szCs w:val="21"/>
                <w:shd w:val="clear" w:color="auto" w:fill="FFFFFF"/>
              </w:rPr>
              <w:t>3.需取得中华人民共和国法律职业资格证书。</w:t>
            </w:r>
          </w:p>
          <w:p>
            <w:pPr>
              <w:widowControl/>
              <w:rPr>
                <w:rFonts w:hint="eastAsia" w:ascii="仿宋_GB2312" w:hAnsi="仿宋_GB2312" w:cs="仿宋_GB2312"/>
                <w:color w:val="000000"/>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jc w:val="center"/>
        </w:trPr>
        <w:tc>
          <w:tcPr>
            <w:tcW w:w="1974" w:type="dxa"/>
            <w:gridSpan w:val="2"/>
            <w:vAlign w:val="center"/>
          </w:tcPr>
          <w:p>
            <w:pPr>
              <w:widowControl/>
              <w:jc w:val="center"/>
              <w:rPr>
                <w:rFonts w:hint="eastAsia" w:ascii="仿宋_GB2312" w:hAnsi="仿宋_GB2312" w:cs="仿宋_GB2312"/>
                <w:kern w:val="0"/>
                <w:sz w:val="24"/>
                <w:szCs w:val="24"/>
              </w:rPr>
            </w:pPr>
            <w:r>
              <w:rPr>
                <w:rFonts w:hint="eastAsia" w:ascii="仿宋_GB2312" w:hAnsi="仿宋_GB2312" w:cs="仿宋_GB2312"/>
                <w:kern w:val="0"/>
                <w:sz w:val="24"/>
                <w:szCs w:val="24"/>
              </w:rPr>
              <w:t>备注</w:t>
            </w:r>
          </w:p>
        </w:tc>
        <w:tc>
          <w:tcPr>
            <w:tcW w:w="11388" w:type="dxa"/>
            <w:gridSpan w:val="3"/>
            <w:vAlign w:val="center"/>
          </w:tcPr>
          <w:p>
            <w:pPr>
              <w:widowControl/>
              <w:rPr>
                <w:rFonts w:hint="eastAsia" w:ascii="仿宋_GB2312" w:hAnsi="仿宋_GB2312" w:cs="仿宋_GB2312"/>
                <w:sz w:val="24"/>
                <w:szCs w:val="24"/>
              </w:rPr>
            </w:pPr>
            <w:r>
              <w:rPr>
                <w:rFonts w:hint="eastAsia" w:ascii="仿宋_GB2312" w:hAnsi="仿宋_GB2312" w:cs="仿宋_GB2312"/>
                <w:sz w:val="24"/>
                <w:szCs w:val="24"/>
              </w:rPr>
              <w:t>1.</w:t>
            </w:r>
            <w:r>
              <w:rPr>
                <w:rFonts w:hint="eastAsia" w:ascii="仿宋_GB2312" w:hAnsi="仿宋_GB2312" w:cs="仿宋_GB2312"/>
                <w:sz w:val="24"/>
                <w:szCs w:val="24"/>
                <w:lang w:val="en-US" w:eastAsia="zh-CN"/>
              </w:rPr>
              <w:t>须35周岁及以下，</w:t>
            </w:r>
            <w:r>
              <w:rPr>
                <w:rFonts w:hint="eastAsia" w:ascii="仿宋_GB2312" w:hAnsi="仿宋_GB2312" w:cs="仿宋_GB2312"/>
                <w:sz w:val="24"/>
                <w:szCs w:val="24"/>
              </w:rPr>
              <w:t>年龄、工作经验截止时间为2018年12月31日；</w:t>
            </w:r>
          </w:p>
          <w:p>
            <w:pPr>
              <w:widowControl/>
              <w:rPr>
                <w:rFonts w:hint="eastAsia" w:ascii="仿宋_GB2312" w:hAnsi="仿宋_GB2312" w:cs="仿宋_GB2312"/>
                <w:sz w:val="24"/>
                <w:szCs w:val="24"/>
              </w:rPr>
            </w:pPr>
            <w:r>
              <w:rPr>
                <w:rFonts w:hint="eastAsia" w:ascii="仿宋_GB2312" w:hAnsi="仿宋_GB2312" w:cs="仿宋_GB2312"/>
                <w:sz w:val="24"/>
                <w:szCs w:val="24"/>
              </w:rPr>
              <w:t xml:space="preserve">2.报考者以主修的第一专业为准报考相应岗位；                                               </w:t>
            </w:r>
          </w:p>
          <w:p>
            <w:pPr>
              <w:widowControl/>
              <w:rPr>
                <w:rFonts w:hint="eastAsia" w:ascii="仿宋_GB2312" w:hAnsi="仿宋_GB2312" w:cs="仿宋_GB2312"/>
                <w:sz w:val="24"/>
                <w:szCs w:val="24"/>
              </w:rPr>
            </w:pPr>
            <w:r>
              <w:rPr>
                <w:rFonts w:hint="eastAsia" w:ascii="仿宋_GB2312" w:hAnsi="仿宋_GB2312" w:cs="仿宋_GB2312"/>
                <w:sz w:val="24"/>
                <w:szCs w:val="24"/>
              </w:rPr>
              <w:t>3.岗位专业参照《福建省机关事业单位招考专业指导目录（2019年）》。</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2019-04-28T08:30:11Z</dcterms:modified>
  <dc:title>附件1   莆田市高速公路有限责任公司公开招聘莆田市轨道交通有限公司员工岗位招考条件调整情况一览表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