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90" w:lineRule="exact"/>
        <w:rPr>
          <w:rFonts w:hint="eastAsia" w:asciiTheme="majorEastAsia" w:hAnsiTheme="majorEastAsia" w:eastAsiaTheme="majorEastAsia" w:cstheme="majorEastAsia"/>
          <w:b/>
          <w:bCs/>
          <w:spacing w:val="-17"/>
          <w:sz w:val="32"/>
          <w:szCs w:val="32"/>
          <w:lang w:val="en-US" w:eastAsia="zh-CN"/>
        </w:rPr>
      </w:pPr>
      <w:r>
        <w:rPr>
          <w:rFonts w:hint="eastAsia" w:asciiTheme="majorEastAsia" w:hAnsiTheme="majorEastAsia" w:eastAsiaTheme="majorEastAsia" w:cstheme="majorEastAsia"/>
          <w:b/>
          <w:bCs/>
          <w:spacing w:val="-20"/>
          <w:sz w:val="32"/>
          <w:szCs w:val="32"/>
          <w:lang w:val="en-US" w:eastAsia="zh-CN"/>
        </w:rPr>
        <w:t>附件：</w:t>
      </w:r>
      <w:r>
        <w:rPr>
          <w:rFonts w:hint="eastAsia" w:asciiTheme="majorEastAsia" w:hAnsiTheme="majorEastAsia" w:eastAsiaTheme="majorEastAsia" w:cstheme="majorEastAsia"/>
          <w:b/>
          <w:bCs/>
          <w:color w:val="000000"/>
          <w:spacing w:val="-17"/>
          <w:sz w:val="32"/>
          <w:szCs w:val="32"/>
          <w:lang w:bidi="ar-SA"/>
        </w:rPr>
        <w:t>2019年度第二轮公开招聘企业员工技术人员B和行政人员C</w:t>
      </w:r>
      <w:r>
        <w:rPr>
          <w:rFonts w:hint="eastAsia" w:asciiTheme="majorEastAsia" w:hAnsiTheme="majorEastAsia" w:eastAsiaTheme="majorEastAsia" w:cstheme="majorEastAsia"/>
          <w:b/>
          <w:bCs/>
          <w:color w:val="000000"/>
          <w:spacing w:val="-17"/>
          <w:sz w:val="32"/>
          <w:szCs w:val="32"/>
          <w:lang w:eastAsia="zh-CN" w:bidi="ar-SA"/>
        </w:rPr>
        <w:t>两个</w:t>
      </w:r>
      <w:r>
        <w:rPr>
          <w:rFonts w:hint="eastAsia" w:asciiTheme="majorEastAsia" w:hAnsiTheme="majorEastAsia" w:eastAsiaTheme="majorEastAsia" w:cstheme="majorEastAsia"/>
          <w:b/>
          <w:bCs/>
          <w:color w:val="000000"/>
          <w:spacing w:val="-17"/>
          <w:sz w:val="32"/>
          <w:szCs w:val="32"/>
          <w:lang w:bidi="ar-SA"/>
        </w:rPr>
        <w:t>岗位招考条件</w:t>
      </w:r>
      <w:r>
        <w:rPr>
          <w:rFonts w:hint="eastAsia" w:asciiTheme="majorEastAsia" w:hAnsiTheme="majorEastAsia" w:eastAsiaTheme="majorEastAsia" w:cstheme="majorEastAsia"/>
          <w:b/>
          <w:bCs/>
          <w:color w:val="000000"/>
          <w:spacing w:val="-17"/>
          <w:sz w:val="32"/>
          <w:szCs w:val="32"/>
          <w:lang w:eastAsia="zh-CN" w:bidi="ar-SA"/>
        </w:rPr>
        <w:t>调整变更情况一览表</w:t>
      </w:r>
    </w:p>
    <w:p>
      <w:pPr>
        <w:spacing w:line="280" w:lineRule="exact"/>
        <w:jc w:val="center"/>
        <w:rPr>
          <w:rFonts w:hint="eastAsia" w:ascii="方正小标宋简体" w:hAnsi="方正小标宋简体" w:eastAsia="方正小标宋简体" w:cs="方正小标宋简体"/>
          <w:spacing w:val="-20"/>
          <w:sz w:val="36"/>
          <w:szCs w:val="36"/>
        </w:rPr>
      </w:pPr>
    </w:p>
    <w:tbl>
      <w:tblPr>
        <w:tblStyle w:val="4"/>
        <w:tblW w:w="14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490"/>
        <w:gridCol w:w="5829"/>
        <w:gridCol w:w="6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44" w:type="dxa"/>
            <w:vMerge w:val="restart"/>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岗位代码</w:t>
            </w:r>
          </w:p>
        </w:tc>
        <w:tc>
          <w:tcPr>
            <w:tcW w:w="1490" w:type="dxa"/>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岗位</w:t>
            </w:r>
          </w:p>
        </w:tc>
        <w:tc>
          <w:tcPr>
            <w:tcW w:w="12046" w:type="dxa"/>
            <w:gridSpan w:val="2"/>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招聘条件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44" w:type="dxa"/>
            <w:vMerge w:val="continue"/>
            <w:vAlign w:val="center"/>
          </w:tcPr>
          <w:p>
            <w:pPr>
              <w:widowControl/>
              <w:jc w:val="left"/>
              <w:rPr>
                <w:rFonts w:ascii="黑体" w:hAnsi="黑体" w:eastAsia="黑体" w:cs="宋体"/>
                <w:kern w:val="0"/>
                <w:sz w:val="24"/>
                <w:szCs w:val="24"/>
              </w:rPr>
            </w:pPr>
          </w:p>
        </w:tc>
        <w:tc>
          <w:tcPr>
            <w:tcW w:w="1490" w:type="dxa"/>
            <w:vAlign w:val="center"/>
          </w:tcPr>
          <w:p>
            <w:pPr>
              <w:widowControl/>
              <w:jc w:val="center"/>
              <w:rPr>
                <w:rFonts w:hint="eastAsia" w:ascii="楷体_GB2312" w:hAnsi="楷体_GB2312" w:eastAsia="楷体_GB2312" w:cs="楷体_GB2312"/>
                <w:b/>
                <w:bCs/>
                <w:kern w:val="0"/>
                <w:sz w:val="24"/>
                <w:szCs w:val="24"/>
                <w:lang w:eastAsia="zh-CN"/>
              </w:rPr>
            </w:pPr>
            <w:r>
              <w:rPr>
                <w:rFonts w:hint="eastAsia" w:ascii="楷体_GB2312" w:hAnsi="楷体_GB2312" w:eastAsia="楷体_GB2312" w:cs="楷体_GB2312"/>
                <w:b/>
                <w:bCs/>
                <w:kern w:val="0"/>
                <w:sz w:val="24"/>
                <w:szCs w:val="24"/>
              </w:rPr>
              <w:t>岗位名称</w:t>
            </w:r>
            <w:r>
              <w:rPr>
                <w:rFonts w:hint="eastAsia" w:ascii="楷体_GB2312" w:hAnsi="楷体_GB2312" w:eastAsia="楷体_GB2312" w:cs="楷体_GB2312"/>
                <w:b/>
                <w:bCs/>
                <w:kern w:val="0"/>
                <w:sz w:val="24"/>
                <w:szCs w:val="24"/>
                <w:lang w:eastAsia="zh-CN"/>
              </w:rPr>
              <w:t>及人数</w:t>
            </w:r>
          </w:p>
        </w:tc>
        <w:tc>
          <w:tcPr>
            <w:tcW w:w="5829" w:type="dxa"/>
            <w:vAlign w:val="center"/>
          </w:tcPr>
          <w:p>
            <w:pPr>
              <w:widowControl/>
              <w:jc w:val="center"/>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原设定条件</w:t>
            </w:r>
          </w:p>
        </w:tc>
        <w:tc>
          <w:tcPr>
            <w:tcW w:w="6217" w:type="dxa"/>
            <w:vAlign w:val="center"/>
          </w:tcPr>
          <w:p>
            <w:pPr>
              <w:widowControl/>
              <w:jc w:val="center"/>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调整后条件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exact"/>
          <w:jc w:val="center"/>
        </w:trPr>
        <w:tc>
          <w:tcPr>
            <w:tcW w:w="744" w:type="dxa"/>
            <w:vAlign w:val="center"/>
          </w:tcPr>
          <w:p>
            <w:pPr>
              <w:widowControl/>
              <w:jc w:val="center"/>
              <w:rPr>
                <w:rFonts w:hint="eastAsia" w:ascii="仿宋_GB2312" w:hAnsi="仿宋_GB2312" w:cs="仿宋_GB2312"/>
                <w:kern w:val="0"/>
                <w:sz w:val="21"/>
                <w:szCs w:val="21"/>
              </w:rPr>
            </w:pPr>
            <w:r>
              <w:rPr>
                <w:rFonts w:hint="eastAsia" w:ascii="仿宋_GB2312" w:hAnsi="仿宋_GB2312" w:cs="仿宋_GB2312"/>
                <w:kern w:val="0"/>
                <w:sz w:val="21"/>
                <w:szCs w:val="21"/>
              </w:rPr>
              <w:t>1</w:t>
            </w:r>
          </w:p>
        </w:tc>
        <w:tc>
          <w:tcPr>
            <w:tcW w:w="1490" w:type="dxa"/>
            <w:vAlign w:val="center"/>
          </w:tcPr>
          <w:p>
            <w:pPr>
              <w:widowControl/>
              <w:jc w:val="center"/>
              <w:rPr>
                <w:rFonts w:hint="eastAsia" w:ascii="仿宋_GB2312" w:hAnsi="仿宋_GB2312" w:cs="仿宋_GB2312"/>
                <w:kern w:val="0"/>
                <w:sz w:val="21"/>
                <w:szCs w:val="21"/>
              </w:rPr>
            </w:pPr>
            <w:r>
              <w:rPr>
                <w:rFonts w:hint="eastAsia" w:ascii="仿宋_GB2312" w:hAnsi="仿宋_GB2312" w:cs="仿宋_GB2312"/>
                <w:kern w:val="0"/>
                <w:sz w:val="21"/>
                <w:szCs w:val="21"/>
              </w:rPr>
              <w:t>技术人员B</w:t>
            </w:r>
          </w:p>
          <w:p>
            <w:pPr>
              <w:widowControl/>
              <w:jc w:val="center"/>
              <w:rPr>
                <w:rFonts w:hint="eastAsia" w:ascii="仿宋_GB2312" w:hAnsi="仿宋_GB2312" w:eastAsia="仿宋_GB2312" w:cs="仿宋_GB2312"/>
                <w:kern w:val="0"/>
                <w:sz w:val="21"/>
                <w:szCs w:val="21"/>
                <w:lang w:eastAsia="zh-CN"/>
              </w:rPr>
            </w:pPr>
            <w:r>
              <w:rPr>
                <w:rFonts w:hint="eastAsia" w:ascii="仿宋_GB2312" w:hAnsi="仿宋_GB2312" w:cs="仿宋_GB2312"/>
                <w:kern w:val="0"/>
                <w:sz w:val="21"/>
                <w:szCs w:val="21"/>
                <w:lang w:eastAsia="zh-CN"/>
              </w:rPr>
              <w:t>（男性</w:t>
            </w:r>
            <w:r>
              <w:rPr>
                <w:rFonts w:hint="eastAsia" w:ascii="仿宋_GB2312" w:hAnsi="仿宋_GB2312" w:cs="仿宋_GB2312"/>
                <w:kern w:val="0"/>
                <w:sz w:val="21"/>
                <w:szCs w:val="21"/>
                <w:lang w:val="en-US" w:eastAsia="zh-CN"/>
              </w:rPr>
              <w:t>2人</w:t>
            </w:r>
            <w:r>
              <w:rPr>
                <w:rFonts w:hint="eastAsia" w:ascii="仿宋_GB2312" w:hAnsi="仿宋_GB2312" w:cs="仿宋_GB2312"/>
                <w:kern w:val="0"/>
                <w:sz w:val="21"/>
                <w:szCs w:val="21"/>
                <w:lang w:eastAsia="zh-CN"/>
              </w:rPr>
              <w:t>）</w:t>
            </w:r>
          </w:p>
        </w:tc>
        <w:tc>
          <w:tcPr>
            <w:tcW w:w="5829" w:type="dxa"/>
            <w:vAlign w:val="center"/>
          </w:tcPr>
          <w:p>
            <w:pPr>
              <w:widowControl/>
              <w:numPr>
                <w:ilvl w:val="0"/>
                <w:numId w:val="1"/>
              </w:numPr>
              <w:rPr>
                <w:rFonts w:hint="eastAsia" w:ascii="仿宋_GB2312" w:hAnsi="仿宋_GB2312" w:cs="仿宋_GB2312"/>
                <w:kern w:val="0"/>
                <w:sz w:val="21"/>
                <w:szCs w:val="21"/>
              </w:rPr>
            </w:pPr>
            <w:bookmarkStart w:id="0" w:name="_GoBack"/>
            <w:bookmarkEnd w:id="0"/>
            <w:r>
              <w:rPr>
                <w:rFonts w:hint="eastAsia" w:ascii="仿宋_GB2312" w:hAnsi="仿宋_GB2312" w:cs="仿宋_GB2312"/>
                <w:kern w:val="0"/>
                <w:sz w:val="21"/>
                <w:szCs w:val="21"/>
              </w:rPr>
              <w:t>道路与桥梁工程、道路与桥梁、公路与桥梁</w:t>
            </w:r>
          </w:p>
          <w:p>
            <w:pPr>
              <w:widowControl/>
              <w:numPr>
                <w:ilvl w:val="0"/>
                <w:numId w:val="2"/>
              </w:numPr>
              <w:rPr>
                <w:rFonts w:hint="eastAsia" w:ascii="仿宋_GB2312" w:hAnsi="仿宋_GB2312" w:cs="仿宋_GB2312"/>
                <w:kern w:val="0"/>
                <w:sz w:val="21"/>
                <w:szCs w:val="21"/>
              </w:rPr>
            </w:pPr>
            <w:r>
              <w:rPr>
                <w:rFonts w:hint="eastAsia" w:ascii="仿宋_GB2312" w:hAnsi="仿宋_GB2312" w:cs="仿宋_GB2312"/>
                <w:kern w:val="0"/>
                <w:sz w:val="21"/>
                <w:szCs w:val="21"/>
              </w:rPr>
              <w:t>全日制本科及以上、学士及以上学位</w:t>
            </w:r>
          </w:p>
          <w:p>
            <w:pPr>
              <w:widowControl/>
              <w:numPr>
                <w:ilvl w:val="0"/>
                <w:numId w:val="2"/>
              </w:numPr>
              <w:rPr>
                <w:rFonts w:hint="eastAsia" w:ascii="仿宋_GB2312" w:hAnsi="仿宋_GB2312" w:cs="仿宋_GB2312"/>
                <w:kern w:val="0"/>
                <w:sz w:val="21"/>
                <w:szCs w:val="21"/>
              </w:rPr>
            </w:pPr>
            <w:r>
              <w:rPr>
                <w:rFonts w:hint="eastAsia" w:ascii="仿宋_GB2312" w:hAnsi="仿宋_GB2312" w:cs="仿宋_GB2312"/>
                <w:kern w:val="0"/>
                <w:sz w:val="21"/>
                <w:szCs w:val="21"/>
              </w:rPr>
              <w:t>35周岁及以下</w:t>
            </w:r>
          </w:p>
          <w:p>
            <w:pPr>
              <w:widowControl/>
              <w:numPr>
                <w:ilvl w:val="0"/>
                <w:numId w:val="2"/>
              </w:numPr>
              <w:rPr>
                <w:rFonts w:hint="eastAsia" w:ascii="仿宋_GB2312" w:hAnsi="仿宋_GB2312" w:cs="仿宋_GB2312"/>
                <w:kern w:val="0"/>
                <w:sz w:val="21"/>
                <w:szCs w:val="21"/>
              </w:rPr>
            </w:pPr>
            <w:r>
              <w:rPr>
                <w:rFonts w:hint="eastAsia" w:ascii="仿宋_GB2312" w:hAnsi="仿宋_GB2312" w:cs="仿宋_GB2312"/>
                <w:kern w:val="0"/>
                <w:sz w:val="21"/>
                <w:szCs w:val="21"/>
              </w:rPr>
              <w:t>能够适应经常性下乡和从事项目野外工作、具备对应专业初级及以上职称证书</w:t>
            </w:r>
          </w:p>
        </w:tc>
        <w:tc>
          <w:tcPr>
            <w:tcW w:w="6217" w:type="dxa"/>
            <w:vAlign w:val="center"/>
          </w:tcPr>
          <w:p>
            <w:pPr>
              <w:widowControl/>
              <w:numPr>
                <w:ilvl w:val="0"/>
                <w:numId w:val="3"/>
              </w:numPr>
              <w:tabs>
                <w:tab w:val="left" w:pos="240"/>
                <w:tab w:val="clear" w:pos="312"/>
              </w:tabs>
              <w:rPr>
                <w:rFonts w:hint="eastAsia" w:ascii="仿宋_GB2312" w:hAnsi="仿宋_GB2312" w:cs="仿宋_GB2312"/>
                <w:color w:val="auto"/>
                <w:sz w:val="21"/>
                <w:szCs w:val="21"/>
                <w:shd w:val="clear" w:color="auto" w:fill="FFFFFF"/>
                <w:lang w:val="en-US" w:eastAsia="zh-CN"/>
              </w:rPr>
            </w:pPr>
            <w:r>
              <w:rPr>
                <w:rFonts w:hint="eastAsia" w:ascii="仿宋_GB2312" w:hAnsi="仿宋_GB2312" w:cs="仿宋_GB2312"/>
                <w:color w:val="auto"/>
                <w:sz w:val="21"/>
                <w:szCs w:val="21"/>
                <w:shd w:val="clear" w:color="auto" w:fill="FFFFFF"/>
              </w:rPr>
              <w:t>道路与桥梁工程、道路与桥梁、公路与桥梁、道路桥梁与渡河工程、桥梁与隧道工程、交通(土建)工程、交通工程、道路桥梁工程技术、公路工程管理</w:t>
            </w:r>
            <w:r>
              <w:rPr>
                <w:rFonts w:hint="eastAsia" w:ascii="仿宋_GB2312" w:hAnsi="仿宋_GB2312" w:cs="仿宋_GB2312"/>
                <w:color w:val="auto"/>
                <w:sz w:val="21"/>
                <w:szCs w:val="21"/>
                <w:shd w:val="clear" w:color="auto" w:fill="FFFFFF"/>
                <w:lang w:eastAsia="zh-CN"/>
              </w:rPr>
              <w:t>、</w:t>
            </w:r>
            <w:r>
              <w:rPr>
                <w:rFonts w:hint="eastAsia" w:ascii="仿宋_GB2312" w:hAnsi="仿宋_GB2312" w:cs="仿宋_GB2312"/>
                <w:color w:val="auto"/>
                <w:sz w:val="21"/>
                <w:szCs w:val="21"/>
                <w:shd w:val="clear" w:color="auto" w:fill="FFFFFF"/>
                <w:lang w:val="en-US" w:eastAsia="zh-CN"/>
              </w:rPr>
              <w:t>土木工程（路桥相关方向）</w:t>
            </w:r>
          </w:p>
          <w:p>
            <w:pPr>
              <w:widowControl/>
              <w:numPr>
                <w:ilvl w:val="0"/>
                <w:numId w:val="3"/>
              </w:numPr>
              <w:tabs>
                <w:tab w:val="left" w:pos="240"/>
                <w:tab w:val="clear" w:pos="312"/>
              </w:tabs>
              <w:rPr>
                <w:rFonts w:hint="default" w:ascii="仿宋_GB2312" w:hAnsi="仿宋_GB2312" w:cs="仿宋_GB2312"/>
                <w:color w:val="auto"/>
                <w:sz w:val="21"/>
                <w:szCs w:val="21"/>
                <w:shd w:val="clear" w:color="auto" w:fill="FFFFFF"/>
                <w:lang w:val="en-US" w:eastAsia="zh-CN"/>
              </w:rPr>
            </w:pPr>
            <w:r>
              <w:rPr>
                <w:rFonts w:hint="eastAsia" w:ascii="仿宋_GB2312" w:hAnsi="仿宋_GB2312" w:cs="仿宋_GB2312"/>
                <w:color w:val="auto"/>
                <w:sz w:val="21"/>
                <w:szCs w:val="21"/>
                <w:shd w:val="clear" w:color="auto" w:fill="FFFFFF"/>
                <w:lang w:val="en-US" w:eastAsia="zh-CN"/>
              </w:rPr>
              <w:t>土木工程（路桥相关方向）考生须上传在校成绩单</w:t>
            </w:r>
          </w:p>
          <w:p>
            <w:pPr>
              <w:widowControl/>
              <w:numPr>
                <w:ilvl w:val="0"/>
                <w:numId w:val="3"/>
              </w:numPr>
              <w:tabs>
                <w:tab w:val="left" w:pos="240"/>
                <w:tab w:val="clear" w:pos="312"/>
              </w:tabs>
              <w:ind w:left="0" w:leftChars="0" w:firstLine="0" w:firstLineChars="0"/>
              <w:rPr>
                <w:rFonts w:hint="eastAsia" w:ascii="仿宋_GB2312" w:hAnsi="仿宋_GB2312" w:cs="仿宋_GB2312"/>
                <w:color w:val="auto"/>
                <w:kern w:val="0"/>
                <w:sz w:val="21"/>
                <w:szCs w:val="21"/>
              </w:rPr>
            </w:pPr>
            <w:r>
              <w:rPr>
                <w:rFonts w:hint="eastAsia" w:ascii="仿宋_GB2312" w:hAnsi="仿宋_GB2312" w:cs="仿宋_GB2312"/>
                <w:color w:val="auto"/>
                <w:kern w:val="0"/>
                <w:sz w:val="21"/>
                <w:szCs w:val="21"/>
              </w:rPr>
              <w:t>全日制本科及以上、学士及以上学位</w:t>
            </w:r>
          </w:p>
          <w:p>
            <w:pPr>
              <w:widowControl/>
              <w:numPr>
                <w:ilvl w:val="0"/>
                <w:numId w:val="3"/>
              </w:numPr>
              <w:tabs>
                <w:tab w:val="left" w:pos="240"/>
                <w:tab w:val="clear" w:pos="312"/>
              </w:tabs>
              <w:ind w:left="0" w:leftChars="0" w:firstLine="0" w:firstLineChars="0"/>
              <w:rPr>
                <w:rFonts w:hint="eastAsia" w:ascii="仿宋_GB2312" w:hAnsi="仿宋_GB2312" w:cs="仿宋_GB2312"/>
                <w:color w:val="auto"/>
                <w:kern w:val="0"/>
                <w:sz w:val="21"/>
                <w:szCs w:val="21"/>
              </w:rPr>
            </w:pPr>
            <w:r>
              <w:rPr>
                <w:rFonts w:hint="eastAsia" w:ascii="仿宋_GB2312" w:hAnsi="仿宋_GB2312" w:cs="仿宋_GB2312"/>
                <w:color w:val="auto"/>
                <w:kern w:val="0"/>
                <w:sz w:val="21"/>
                <w:szCs w:val="21"/>
                <w:lang w:val="en-US" w:eastAsia="zh-CN"/>
              </w:rPr>
              <w:t>35周岁及以下</w:t>
            </w:r>
          </w:p>
          <w:p>
            <w:pPr>
              <w:widowControl/>
              <w:numPr>
                <w:ilvl w:val="0"/>
                <w:numId w:val="3"/>
              </w:numPr>
              <w:ind w:left="0" w:leftChars="0" w:firstLine="0" w:firstLineChars="0"/>
              <w:rPr>
                <w:rFonts w:hint="default" w:ascii="仿宋_GB2312" w:hAnsi="仿宋_GB2312" w:eastAsia="仿宋_GB2312" w:cs="仿宋_GB2312"/>
                <w:color w:val="auto"/>
                <w:kern w:val="0"/>
                <w:sz w:val="21"/>
                <w:szCs w:val="21"/>
                <w:lang w:val="en-US" w:eastAsia="zh-CN"/>
              </w:rPr>
            </w:pPr>
            <w:r>
              <w:rPr>
                <w:rFonts w:hint="eastAsia" w:ascii="仿宋_GB2312" w:hAnsi="仿宋_GB2312" w:cs="仿宋_GB2312"/>
                <w:color w:val="auto"/>
                <w:kern w:val="0"/>
                <w:sz w:val="21"/>
                <w:szCs w:val="21"/>
                <w:lang w:val="en-US" w:eastAsia="zh-CN"/>
              </w:rPr>
              <w:t>能</w:t>
            </w:r>
            <w:r>
              <w:rPr>
                <w:rFonts w:hint="eastAsia" w:ascii="仿宋_GB2312" w:hAnsi="仿宋_GB2312" w:cs="仿宋_GB2312"/>
                <w:color w:val="auto"/>
                <w:kern w:val="0"/>
                <w:sz w:val="21"/>
                <w:szCs w:val="21"/>
              </w:rPr>
              <w:t>够适应经常性下乡和从事项目野外工作</w:t>
            </w:r>
          </w:p>
          <w:p>
            <w:pPr>
              <w:widowControl/>
              <w:numPr>
                <w:ilvl w:val="0"/>
                <w:numId w:val="0"/>
              </w:numPr>
              <w:tabs>
                <w:tab w:val="left" w:pos="240"/>
              </w:tabs>
              <w:rPr>
                <w:rFonts w:hint="default" w:ascii="仿宋_GB2312" w:hAnsi="仿宋_GB2312" w:cs="仿宋_GB2312"/>
                <w:color w:val="auto"/>
                <w:sz w:val="21"/>
                <w:szCs w:val="21"/>
                <w:shd w:val="clear" w:color="auto" w:fill="FFFFFF"/>
                <w:lang w:val="en-US" w:eastAsia="zh-CN"/>
              </w:rPr>
            </w:pPr>
          </w:p>
          <w:p>
            <w:pPr>
              <w:widowControl/>
              <w:tabs>
                <w:tab w:val="left" w:pos="240"/>
              </w:tabs>
              <w:rPr>
                <w:rFonts w:hint="eastAsia" w:ascii="仿宋_GB2312" w:hAnsi="仿宋_GB2312" w:cs="仿宋_GB2312"/>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exact"/>
          <w:jc w:val="center"/>
        </w:trPr>
        <w:tc>
          <w:tcPr>
            <w:tcW w:w="744" w:type="dxa"/>
            <w:vAlign w:val="center"/>
          </w:tcPr>
          <w:p>
            <w:pPr>
              <w:widowControl/>
              <w:jc w:val="center"/>
              <w:rPr>
                <w:rFonts w:hint="eastAsia" w:ascii="仿宋_GB2312" w:hAnsi="仿宋_GB2312" w:cs="仿宋_GB2312"/>
                <w:kern w:val="0"/>
                <w:sz w:val="21"/>
                <w:szCs w:val="21"/>
              </w:rPr>
            </w:pPr>
            <w:r>
              <w:rPr>
                <w:rFonts w:hint="eastAsia" w:ascii="仿宋_GB2312" w:hAnsi="仿宋_GB2312" w:cs="仿宋_GB2312"/>
                <w:kern w:val="0"/>
                <w:sz w:val="21"/>
                <w:szCs w:val="21"/>
              </w:rPr>
              <w:t>2</w:t>
            </w:r>
          </w:p>
        </w:tc>
        <w:tc>
          <w:tcPr>
            <w:tcW w:w="1490" w:type="dxa"/>
            <w:vAlign w:val="center"/>
          </w:tcPr>
          <w:p>
            <w:pPr>
              <w:widowControl/>
              <w:jc w:val="center"/>
              <w:rPr>
                <w:rFonts w:hint="eastAsia" w:ascii="仿宋_GB2312" w:hAnsi="仿宋_GB2312" w:cs="仿宋_GB2312"/>
                <w:kern w:val="0"/>
                <w:sz w:val="21"/>
                <w:szCs w:val="21"/>
              </w:rPr>
            </w:pPr>
            <w:r>
              <w:rPr>
                <w:rFonts w:hint="eastAsia" w:ascii="仿宋_GB2312" w:hAnsi="仿宋_GB2312" w:cs="仿宋_GB2312"/>
                <w:kern w:val="0"/>
                <w:sz w:val="21"/>
                <w:szCs w:val="21"/>
              </w:rPr>
              <w:t>行政人员C</w:t>
            </w:r>
          </w:p>
          <w:p>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cs="仿宋_GB2312"/>
                <w:kern w:val="0"/>
                <w:sz w:val="21"/>
                <w:szCs w:val="21"/>
                <w:lang w:val="en-US" w:eastAsia="zh-CN"/>
              </w:rPr>
              <w:t>（1人）</w:t>
            </w:r>
          </w:p>
        </w:tc>
        <w:tc>
          <w:tcPr>
            <w:tcW w:w="5829" w:type="dxa"/>
            <w:vAlign w:val="center"/>
          </w:tcPr>
          <w:p>
            <w:pPr>
              <w:widowControl/>
              <w:jc w:val="left"/>
              <w:rPr>
                <w:rFonts w:hint="eastAsia" w:ascii="仿宋_GB2312" w:hAnsi="仿宋_GB2312" w:cs="仿宋_GB2312"/>
                <w:kern w:val="0"/>
                <w:sz w:val="21"/>
                <w:szCs w:val="21"/>
              </w:rPr>
            </w:pPr>
            <w:r>
              <w:rPr>
                <w:rFonts w:hint="eastAsia" w:ascii="仿宋_GB2312" w:hAnsi="仿宋_GB2312" w:cs="仿宋_GB2312"/>
                <w:kern w:val="0"/>
                <w:sz w:val="21"/>
                <w:szCs w:val="21"/>
              </w:rPr>
              <w:t>1.商务策划管理、商务策划、营销与策划、广告设计与制作</w:t>
            </w:r>
          </w:p>
          <w:p>
            <w:pPr>
              <w:widowControl/>
              <w:numPr>
                <w:ilvl w:val="0"/>
                <w:numId w:val="0"/>
              </w:numPr>
              <w:rPr>
                <w:rFonts w:hint="eastAsia" w:ascii="仿宋_GB2312" w:hAnsi="仿宋_GB2312" w:cs="仿宋_GB2312"/>
                <w:kern w:val="0"/>
                <w:sz w:val="21"/>
                <w:szCs w:val="21"/>
              </w:rPr>
            </w:pPr>
            <w:r>
              <w:rPr>
                <w:rFonts w:hint="eastAsia" w:ascii="仿宋_GB2312" w:hAnsi="仿宋_GB2312" w:cs="仿宋_GB2312"/>
                <w:kern w:val="0"/>
                <w:sz w:val="21"/>
                <w:szCs w:val="21"/>
              </w:rPr>
              <w:t>2.全日制本科及以上、学士及以上学位</w:t>
            </w:r>
          </w:p>
          <w:p>
            <w:pPr>
              <w:widowControl/>
              <w:numPr>
                <w:ilvl w:val="0"/>
                <w:numId w:val="0"/>
              </w:numPr>
              <w:rPr>
                <w:rFonts w:hint="default" w:ascii="仿宋_GB2312" w:hAnsi="仿宋_GB2312" w:eastAsia="仿宋_GB2312" w:cs="仿宋_GB2312"/>
                <w:color w:val="000000"/>
                <w:sz w:val="21"/>
                <w:szCs w:val="21"/>
                <w:shd w:val="clear" w:color="auto" w:fill="FFFFFF"/>
                <w:lang w:val="en-US" w:eastAsia="zh-CN"/>
              </w:rPr>
            </w:pPr>
            <w:r>
              <w:rPr>
                <w:rFonts w:hint="eastAsia" w:ascii="仿宋_GB2312" w:hAnsi="仿宋_GB2312" w:cs="仿宋_GB2312"/>
                <w:kern w:val="0"/>
                <w:sz w:val="21"/>
                <w:szCs w:val="21"/>
                <w:lang w:val="en-US" w:eastAsia="zh-CN"/>
              </w:rPr>
              <w:t>3.</w:t>
            </w:r>
            <w:r>
              <w:rPr>
                <w:rFonts w:hint="eastAsia" w:ascii="仿宋_GB2312" w:hAnsi="仿宋_GB2312" w:cs="仿宋_GB2312"/>
                <w:kern w:val="0"/>
                <w:sz w:val="21"/>
                <w:szCs w:val="21"/>
              </w:rPr>
              <w:t>35周岁及以下</w:t>
            </w:r>
          </w:p>
        </w:tc>
        <w:tc>
          <w:tcPr>
            <w:tcW w:w="6217" w:type="dxa"/>
            <w:vAlign w:val="center"/>
          </w:tcPr>
          <w:p>
            <w:pPr>
              <w:widowControl/>
              <w:rPr>
                <w:rFonts w:hint="eastAsia" w:ascii="仿宋_GB2312" w:hAnsi="仿宋_GB2312" w:cs="仿宋_GB2312"/>
                <w:color w:val="auto"/>
                <w:kern w:val="0"/>
                <w:sz w:val="21"/>
                <w:szCs w:val="21"/>
              </w:rPr>
            </w:pPr>
            <w:r>
              <w:rPr>
                <w:rFonts w:hint="eastAsia" w:ascii="仿宋_GB2312" w:hAnsi="仿宋_GB2312" w:cs="仿宋_GB2312"/>
                <w:color w:val="auto"/>
                <w:kern w:val="0"/>
                <w:sz w:val="21"/>
                <w:szCs w:val="21"/>
              </w:rPr>
              <w:t>1.商务策划管理、商务策划、营销与策划、广告设计与制作、</w:t>
            </w:r>
            <w:r>
              <w:rPr>
                <w:rFonts w:hint="eastAsia" w:ascii="仿宋_GB2312" w:hAnsi="仿宋_GB2312" w:cs="仿宋_GB2312"/>
                <w:color w:val="auto"/>
                <w:kern w:val="0"/>
                <w:sz w:val="21"/>
                <w:szCs w:val="21"/>
                <w:lang w:val="en-US" w:eastAsia="zh-CN"/>
              </w:rPr>
              <w:t>视觉传达（艺术）设计</w:t>
            </w:r>
            <w:r>
              <w:rPr>
                <w:rFonts w:hint="eastAsia" w:ascii="仿宋_GB2312" w:hAnsi="仿宋_GB2312" w:cs="仿宋_GB2312"/>
                <w:color w:val="auto"/>
                <w:kern w:val="0"/>
                <w:sz w:val="21"/>
                <w:szCs w:val="21"/>
              </w:rPr>
              <w:t>、广告</w:t>
            </w:r>
            <w:r>
              <w:rPr>
                <w:rFonts w:hint="eastAsia" w:ascii="仿宋_GB2312" w:hAnsi="仿宋_GB2312" w:cs="仿宋_GB2312"/>
                <w:color w:val="auto"/>
                <w:kern w:val="0"/>
                <w:sz w:val="21"/>
                <w:szCs w:val="21"/>
                <w:lang w:eastAsia="zh-CN"/>
              </w:rPr>
              <w:t>、</w:t>
            </w:r>
            <w:r>
              <w:rPr>
                <w:rFonts w:hint="eastAsia" w:ascii="仿宋_GB2312" w:hAnsi="仿宋_GB2312" w:cs="仿宋_GB2312"/>
                <w:color w:val="auto"/>
                <w:kern w:val="0"/>
                <w:sz w:val="21"/>
                <w:szCs w:val="21"/>
                <w:lang w:val="en-US" w:eastAsia="zh-CN"/>
              </w:rPr>
              <w:t>广告学</w:t>
            </w:r>
            <w:r>
              <w:rPr>
                <w:rFonts w:hint="eastAsia" w:ascii="仿宋_GB2312" w:hAnsi="仿宋_GB2312" w:cs="仿宋_GB2312"/>
                <w:color w:val="auto"/>
                <w:kern w:val="0"/>
                <w:sz w:val="21"/>
                <w:szCs w:val="21"/>
              </w:rPr>
              <w:t>、媒体创意、信息传播与策划、广告与会展、市场营销</w:t>
            </w:r>
            <w:r>
              <w:rPr>
                <w:rFonts w:hint="eastAsia" w:ascii="仿宋_GB2312" w:hAnsi="仿宋_GB2312" w:cs="仿宋_GB2312"/>
                <w:color w:val="auto"/>
                <w:kern w:val="0"/>
                <w:sz w:val="21"/>
                <w:szCs w:val="21"/>
                <w:lang w:eastAsia="zh-CN"/>
              </w:rPr>
              <w:t>、</w:t>
            </w:r>
            <w:r>
              <w:rPr>
                <w:rFonts w:hint="eastAsia" w:ascii="仿宋_GB2312" w:hAnsi="仿宋_GB2312" w:cs="仿宋_GB2312"/>
                <w:color w:val="auto"/>
                <w:kern w:val="0"/>
                <w:sz w:val="21"/>
                <w:szCs w:val="21"/>
                <w:lang w:val="en-US" w:eastAsia="zh-CN"/>
              </w:rPr>
              <w:t>市场营销学</w:t>
            </w:r>
            <w:r>
              <w:rPr>
                <w:rFonts w:hint="eastAsia" w:ascii="仿宋_GB2312" w:hAnsi="仿宋_GB2312" w:cs="仿宋_GB2312"/>
                <w:color w:val="auto"/>
                <w:kern w:val="0"/>
                <w:sz w:val="21"/>
                <w:szCs w:val="21"/>
              </w:rPr>
              <w:t>、商务管理、市场策划、广告经营与管理</w:t>
            </w:r>
          </w:p>
          <w:p>
            <w:pPr>
              <w:widowControl/>
              <w:numPr>
                <w:ilvl w:val="0"/>
                <w:numId w:val="0"/>
              </w:numPr>
              <w:rPr>
                <w:rFonts w:hint="eastAsia" w:ascii="仿宋_GB2312" w:hAnsi="仿宋_GB2312" w:cs="仿宋_GB2312"/>
                <w:color w:val="auto"/>
                <w:sz w:val="21"/>
                <w:szCs w:val="21"/>
                <w:shd w:val="clear" w:color="auto" w:fill="FFFFFF"/>
              </w:rPr>
            </w:pPr>
            <w:r>
              <w:rPr>
                <w:rFonts w:hint="eastAsia" w:ascii="仿宋_GB2312" w:hAnsi="仿宋_GB2312" w:cs="仿宋_GB2312"/>
                <w:color w:val="auto"/>
                <w:kern w:val="0"/>
                <w:sz w:val="21"/>
                <w:szCs w:val="21"/>
              </w:rPr>
              <w:t>2.全日制本科及以上、学士及以上学位</w:t>
            </w:r>
          </w:p>
          <w:p>
            <w:pPr>
              <w:widowControl/>
              <w:rPr>
                <w:rFonts w:hint="default" w:ascii="仿宋_GB2312" w:hAnsi="仿宋_GB2312" w:eastAsia="仿宋_GB2312" w:cs="仿宋_GB2312"/>
                <w:color w:val="auto"/>
                <w:sz w:val="21"/>
                <w:szCs w:val="21"/>
                <w:shd w:val="clear" w:color="auto" w:fill="FFFFFF"/>
                <w:lang w:val="en-US" w:eastAsia="zh-CN"/>
              </w:rPr>
            </w:pPr>
            <w:r>
              <w:rPr>
                <w:rFonts w:hint="eastAsia" w:ascii="仿宋_GB2312" w:hAnsi="仿宋_GB2312" w:cs="仿宋_GB2312"/>
                <w:color w:val="auto"/>
                <w:sz w:val="21"/>
                <w:szCs w:val="21"/>
                <w:shd w:val="clear" w:color="auto" w:fill="FFFFFF"/>
              </w:rPr>
              <w:t>3.</w:t>
            </w:r>
            <w:r>
              <w:rPr>
                <w:rFonts w:hint="eastAsia" w:ascii="仿宋_GB2312" w:hAnsi="仿宋_GB2312" w:cs="仿宋_GB2312"/>
                <w:color w:val="auto"/>
                <w:kern w:val="0"/>
                <w:sz w:val="21"/>
                <w:szCs w:val="21"/>
              </w:rPr>
              <w:t>35周岁及以下</w:t>
            </w:r>
          </w:p>
          <w:p>
            <w:pPr>
              <w:widowControl/>
              <w:rPr>
                <w:rFonts w:hint="eastAsia" w:ascii="仿宋_GB2312" w:hAnsi="仿宋_GB2312" w:cs="仿宋_GB2312"/>
                <w:color w:val="auto"/>
                <w:sz w:val="21"/>
                <w:szCs w:val="21"/>
                <w:shd w:val="clear" w:color="auto" w:fill="FFFFFF"/>
              </w:rPr>
            </w:pPr>
          </w:p>
        </w:tc>
      </w:tr>
    </w:tbl>
    <w:p/>
    <w:sectPr>
      <w:pgSz w:w="16838" w:h="11906" w:orient="landscape"/>
      <w:pgMar w:top="1213" w:right="1803" w:bottom="1213"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2CADB4"/>
    <w:multiLevelType w:val="singleLevel"/>
    <w:tmpl w:val="A32CADB4"/>
    <w:lvl w:ilvl="0" w:tentative="0">
      <w:start w:val="2"/>
      <w:numFmt w:val="decimal"/>
      <w:lvlText w:val="%1."/>
      <w:lvlJc w:val="left"/>
      <w:pPr>
        <w:tabs>
          <w:tab w:val="left" w:pos="312"/>
        </w:tabs>
      </w:pPr>
    </w:lvl>
  </w:abstractNum>
  <w:abstractNum w:abstractNumId="1">
    <w:nsid w:val="B0F44F5B"/>
    <w:multiLevelType w:val="singleLevel"/>
    <w:tmpl w:val="B0F44F5B"/>
    <w:lvl w:ilvl="0" w:tentative="0">
      <w:start w:val="1"/>
      <w:numFmt w:val="decimal"/>
      <w:lvlText w:val="%1."/>
      <w:lvlJc w:val="left"/>
      <w:pPr>
        <w:tabs>
          <w:tab w:val="left" w:pos="312"/>
        </w:tabs>
      </w:pPr>
    </w:lvl>
  </w:abstractNum>
  <w:abstractNum w:abstractNumId="2">
    <w:nsid w:val="1A321A05"/>
    <w:multiLevelType w:val="singleLevel"/>
    <w:tmpl w:val="1A321A05"/>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41825"/>
    <w:rsid w:val="15D847E1"/>
    <w:rsid w:val="187B39B2"/>
    <w:rsid w:val="31FD06C0"/>
    <w:rsid w:val="353D2096"/>
    <w:rsid w:val="441E3EC7"/>
    <w:rsid w:val="53F42FE2"/>
    <w:rsid w:val="6A7154EC"/>
    <w:rsid w:val="6F1357CA"/>
    <w:rsid w:val="753949C4"/>
    <w:rsid w:val="75810B6C"/>
    <w:rsid w:val="791A41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lisa</cp:lastModifiedBy>
  <cp:lastPrinted>2019-11-22T02:12:00Z</cp:lastPrinted>
  <dcterms:modified xsi:type="dcterms:W3CDTF">2019-11-25T01:42:50Z</dcterms:modified>
  <dc:title>附件1   莆田市高速公路有限责任公司公开招聘莆田市轨道交通有限公司员工岗位招考条件调整情况一览表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