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2024年度“莆田工匠”</w:t>
      </w:r>
      <w:r>
        <w:rPr>
          <w:rFonts w:hint="default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职业技能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大赛项目申报</w:t>
      </w:r>
      <w:r>
        <w:rPr>
          <w:rFonts w:hint="default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表</w:t>
      </w:r>
    </w:p>
    <w:tbl>
      <w:tblPr>
        <w:tblStyle w:val="2"/>
        <w:tblW w:w="92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2"/>
        <w:gridCol w:w="2277"/>
        <w:gridCol w:w="1815"/>
        <w:gridCol w:w="3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cs="Times New Roman"/>
                <w:color w:val="auto"/>
                <w:sz w:val="24"/>
              </w:rPr>
            </w:pPr>
            <w:r>
              <w:rPr>
                <w:rFonts w:hint="eastAsia" w:ascii="仿宋_GB2312" w:hAnsi="Times New Roman" w:cs="仿宋_GB2312"/>
                <w:color w:val="auto"/>
                <w:sz w:val="24"/>
                <w:lang w:eastAsia="zh-CN"/>
              </w:rPr>
              <w:t>赛项</w:t>
            </w:r>
            <w:r>
              <w:rPr>
                <w:rFonts w:hint="eastAsia" w:ascii="仿宋_GB2312" w:hAnsi="Times New Roman" w:cs="仿宋_GB2312"/>
                <w:color w:val="auto"/>
                <w:sz w:val="24"/>
              </w:rPr>
              <w:t>名称</w:t>
            </w:r>
          </w:p>
        </w:tc>
        <w:tc>
          <w:tcPr>
            <w:tcW w:w="7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仿宋_GB2312" w:hAnsi="Times New Roman" w:cs="Times New Roman"/>
                <w:color w:val="auto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4"/>
                <w:lang w:eastAsia="zh-CN"/>
              </w:rPr>
              <w:t>预计参赛人数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cs="Times New Roman"/>
                <w:color w:val="auto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Times New Roman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Times New Roman" w:cs="Times New Roman"/>
                <w:color w:val="auto"/>
                <w:sz w:val="24"/>
                <w:lang w:eastAsia="zh-CN"/>
              </w:rPr>
              <w:t>预计投入资金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hAnsi="Times New Roman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宋体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Times New Roman" w:cs="仿宋_GB2312"/>
                <w:color w:val="auto"/>
                <w:sz w:val="24"/>
                <w:lang w:eastAsia="zh-CN"/>
              </w:rPr>
              <w:t>联系人</w:t>
            </w:r>
          </w:p>
        </w:tc>
        <w:tc>
          <w:tcPr>
            <w:tcW w:w="22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cs="Times New Roman"/>
                <w:color w:val="auto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宋体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hAnsi="宋体" w:cs="Times New Roman"/>
                <w:color w:val="auto"/>
                <w:sz w:val="24"/>
                <w:lang w:eastAsia="zh-CN"/>
              </w:rPr>
              <w:t>联系电话</w:t>
            </w:r>
          </w:p>
        </w:tc>
        <w:tc>
          <w:tcPr>
            <w:tcW w:w="32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ascii="仿宋_GB2312" w:hAnsi="宋体" w:cs="Times New Roman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24"/>
                <w:lang w:val="en-US" w:eastAsia="zh-CN"/>
              </w:rPr>
              <w:t>竞赛条件</w:t>
            </w:r>
          </w:p>
          <w:p>
            <w:pPr>
              <w:spacing w:line="400" w:lineRule="exact"/>
              <w:jc w:val="center"/>
              <w:rPr>
                <w:rFonts w:hint="default" w:ascii="仿宋_GB2312" w:hAnsi="Times New Roman" w:eastAsia="仿宋_GB2312" w:cs="Times New Roman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24"/>
                <w:lang w:val="en-US" w:eastAsia="zh-CN"/>
              </w:rPr>
              <w:t>是否具备</w:t>
            </w:r>
          </w:p>
        </w:tc>
        <w:tc>
          <w:tcPr>
            <w:tcW w:w="7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仿宋_GB2312" w:hAnsi="Times New Roman" w:cs="Times New Roman"/>
                <w:color w:val="auto"/>
                <w:sz w:val="24"/>
              </w:rPr>
              <w:t>1.能够独立承担民事责任；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</w:t>
            </w:r>
          </w:p>
          <w:p>
            <w:pPr>
              <w:spacing w:line="320" w:lineRule="exact"/>
              <w:jc w:val="left"/>
              <w:rPr>
                <w:rFonts w:hint="eastAsia" w:ascii="仿宋_GB2312" w:hAnsi="Times New Roman" w:cs="Times New Roman"/>
                <w:color w:val="auto"/>
                <w:sz w:val="24"/>
              </w:rPr>
            </w:pPr>
            <w:r>
              <w:rPr>
                <w:rFonts w:hint="eastAsia" w:ascii="仿宋_GB2312" w:hAnsi="Times New Roman" w:cs="Times New Roman"/>
                <w:color w:val="auto"/>
                <w:sz w:val="24"/>
              </w:rPr>
              <w:t>2.有与竞赛组织工作要求相适应的组织机构和管理人员；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</w:t>
            </w:r>
            <w:r>
              <w:rPr>
                <w:rFonts w:hint="eastAsia" w:ascii="仿宋_GB2312" w:hAnsi="Times New Roman" w:cs="Times New Roman"/>
                <w:color w:val="auto"/>
                <w:sz w:val="24"/>
              </w:rPr>
              <w:t> </w:t>
            </w:r>
          </w:p>
          <w:p>
            <w:pPr>
              <w:spacing w:line="320" w:lineRule="exact"/>
              <w:jc w:val="left"/>
              <w:rPr>
                <w:rFonts w:hint="eastAsia" w:ascii="仿宋_GB2312" w:hAnsi="Times New Roman" w:cs="Times New Roman"/>
                <w:color w:val="auto"/>
                <w:sz w:val="24"/>
              </w:rPr>
            </w:pPr>
            <w:r>
              <w:rPr>
                <w:rFonts w:hint="eastAsia" w:ascii="仿宋_GB2312" w:hAnsi="Times New Roman" w:cs="Times New Roman"/>
                <w:color w:val="auto"/>
                <w:sz w:val="24"/>
              </w:rPr>
              <w:t>3.有与竞赛水平相适应的专家队伍并能按要求完成相应的赛务工作； 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</w:t>
            </w:r>
            <w:r>
              <w:rPr>
                <w:rFonts w:hint="eastAsia" w:ascii="仿宋_GB2312" w:hAnsi="Times New Roman" w:cs="Times New Roman"/>
                <w:color w:val="auto"/>
                <w:sz w:val="24"/>
              </w:rPr>
              <w:t> </w:t>
            </w:r>
          </w:p>
          <w:p>
            <w:pPr>
              <w:spacing w:line="320" w:lineRule="exact"/>
              <w:jc w:val="left"/>
              <w:rPr>
                <w:rFonts w:hint="eastAsia" w:ascii="仿宋_GB2312" w:hAnsi="Times New Roman" w:cs="Times New Roman"/>
                <w:color w:val="auto"/>
                <w:sz w:val="24"/>
              </w:rPr>
            </w:pPr>
            <w:r>
              <w:rPr>
                <w:rFonts w:hint="eastAsia" w:ascii="仿宋_GB2312" w:hAnsi="Times New Roman" w:cs="Times New Roman"/>
                <w:color w:val="auto"/>
                <w:sz w:val="24"/>
              </w:rPr>
              <w:t>4.有完善的竞赛实施方案、竞赛规则、评分方法和标准；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</w:t>
            </w:r>
          </w:p>
          <w:p>
            <w:pPr>
              <w:spacing w:line="320" w:lineRule="exact"/>
              <w:jc w:val="left"/>
              <w:rPr>
                <w:rFonts w:hint="eastAsia" w:ascii="仿宋_GB2312" w:hAnsi="Times New Roman" w:cs="Times New Roman"/>
                <w:color w:val="auto"/>
                <w:sz w:val="24"/>
              </w:rPr>
            </w:pPr>
            <w:r>
              <w:rPr>
                <w:rFonts w:hint="eastAsia" w:ascii="仿宋_GB2312" w:hAnsi="Times New Roman" w:cs="Times New Roman"/>
                <w:color w:val="auto"/>
                <w:sz w:val="24"/>
              </w:rPr>
              <w:t>5.有与竞赛规模相适应的经费支持；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</w:t>
            </w:r>
          </w:p>
          <w:p>
            <w:pPr>
              <w:spacing w:line="320" w:lineRule="exact"/>
              <w:jc w:val="left"/>
              <w:rPr>
                <w:rFonts w:hint="eastAsia" w:ascii="仿宋_GB2312" w:hAnsi="Times New Roman" w:cs="Times New Roman"/>
                <w:color w:val="auto"/>
                <w:sz w:val="24"/>
              </w:rPr>
            </w:pPr>
            <w:r>
              <w:rPr>
                <w:rFonts w:hint="eastAsia" w:ascii="仿宋_GB2312" w:hAnsi="Times New Roman" w:cs="Times New Roman"/>
                <w:color w:val="auto"/>
                <w:sz w:val="24"/>
              </w:rPr>
              <w:t>6.具有竞赛所需的场所、设施设备、工具、检测仪器和信息化管理系统等，有完善的赛务、安全、环保等保障措施；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</w:t>
            </w:r>
            <w:r>
              <w:rPr>
                <w:rFonts w:hint="eastAsia" w:ascii="仿宋_GB2312" w:hAnsi="Times New Roman" w:cs="Times New Roman"/>
                <w:color w:val="auto"/>
                <w:sz w:val="24"/>
              </w:rPr>
              <w:t> </w:t>
            </w:r>
          </w:p>
          <w:p>
            <w:pPr>
              <w:spacing w:line="320" w:lineRule="exact"/>
              <w:jc w:val="left"/>
              <w:rPr>
                <w:rFonts w:hint="eastAsia" w:ascii="仿宋_GB2312" w:hAnsi="Times New Roman" w:cs="Times New Roman"/>
                <w:color w:val="auto"/>
                <w:sz w:val="24"/>
              </w:rPr>
            </w:pPr>
            <w:r>
              <w:rPr>
                <w:rFonts w:hint="eastAsia" w:ascii="仿宋_GB2312" w:hAnsi="Times New Roman" w:cs="Times New Roman"/>
                <w:color w:val="auto"/>
                <w:sz w:val="24"/>
              </w:rPr>
              <w:t>7.</w:t>
            </w:r>
            <w:r>
              <w:rPr>
                <w:rFonts w:hint="eastAsia" w:ascii="仿宋_GB2312" w:hAnsi="Times New Roman" w:cs="Times New Roman"/>
                <w:color w:val="auto"/>
                <w:sz w:val="24"/>
                <w:lang w:eastAsia="zh-CN"/>
              </w:rPr>
              <w:t>承办</w:t>
            </w:r>
            <w:r>
              <w:rPr>
                <w:rFonts w:hint="eastAsia" w:ascii="仿宋_GB2312" w:hAnsi="Times New Roman" w:cs="Times New Roman"/>
                <w:color w:val="auto"/>
                <w:sz w:val="24"/>
              </w:rPr>
              <w:t>竞赛的职业工种为竞赛</w:t>
            </w:r>
            <w:r>
              <w:rPr>
                <w:rFonts w:hint="eastAsia" w:ascii="仿宋_GB2312" w:hAnsi="Times New Roman" w:cs="Times New Roman"/>
                <w:color w:val="auto"/>
                <w:sz w:val="24"/>
                <w:lang w:eastAsia="zh-CN"/>
              </w:rPr>
              <w:t>承</w:t>
            </w:r>
            <w:r>
              <w:rPr>
                <w:rFonts w:hint="eastAsia" w:ascii="仿宋_GB2312" w:hAnsi="Times New Roman" w:cs="Times New Roman"/>
                <w:color w:val="auto"/>
                <w:sz w:val="24"/>
              </w:rPr>
              <w:t>办单位的主营（主责、教学）的职业工种。 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exact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仿宋_GB2312" w:cs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cs="仿宋_GB2312"/>
                <w:color w:val="auto"/>
                <w:sz w:val="24"/>
                <w:lang w:val="en-US" w:eastAsia="zh-CN"/>
              </w:rPr>
              <w:t>承办单位简介</w:t>
            </w:r>
          </w:p>
        </w:tc>
        <w:tc>
          <w:tcPr>
            <w:tcW w:w="7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Times New Roman" w:eastAsia="仿宋_GB2312" w:cs="Times New Roman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exact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cs="仿宋_GB2312"/>
                <w:color w:val="auto"/>
                <w:sz w:val="24"/>
                <w:lang w:eastAsia="zh-CN"/>
              </w:rPr>
              <w:t>承办单位承诺</w:t>
            </w:r>
          </w:p>
        </w:tc>
        <w:tc>
          <w:tcPr>
            <w:tcW w:w="7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80" w:firstLineChars="200"/>
              <w:jc w:val="both"/>
              <w:rPr>
                <w:rFonts w:hint="eastAsia" w:ascii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color w:val="auto"/>
                <w:sz w:val="24"/>
                <w:lang w:eastAsia="zh-CN"/>
              </w:rPr>
              <w:t>我单位具备承办竞赛所需条件，申请承办</w:t>
            </w:r>
            <w:r>
              <w:rPr>
                <w:rFonts w:hint="eastAsia" w:ascii="仿宋_GB2312" w:cs="Times New Roman"/>
                <w:color w:val="auto"/>
                <w:sz w:val="24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仿宋_GB2312" w:cs="Times New Roman"/>
                <w:color w:val="auto"/>
                <w:sz w:val="24"/>
                <w:lang w:val="en-US" w:eastAsia="zh-CN"/>
              </w:rPr>
              <w:t>项目职业技能竞赛，</w:t>
            </w:r>
            <w:r>
              <w:rPr>
                <w:rFonts w:hint="eastAsia" w:ascii="仿宋_GB2312" w:cs="Times New Roman"/>
                <w:color w:val="auto"/>
                <w:sz w:val="24"/>
                <w:lang w:eastAsia="zh-CN"/>
              </w:rPr>
              <w:t>承诺将公平、公正、公开、节俭、按时合规承办职业技能竞赛活动，承诺提交的材料真实有效。如有虚假，愿意承担由此产生的一切责任和后果。</w:t>
            </w:r>
          </w:p>
          <w:p>
            <w:pPr>
              <w:spacing w:line="360" w:lineRule="exact"/>
              <w:ind w:firstLine="4560" w:firstLineChars="1900"/>
              <w:jc w:val="both"/>
              <w:rPr>
                <w:rFonts w:hint="eastAsia" w:ascii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color w:val="auto"/>
                <w:sz w:val="24"/>
                <w:lang w:eastAsia="zh-CN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exact"/>
        </w:trPr>
        <w:tc>
          <w:tcPr>
            <w:tcW w:w="1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仿宋_GB2312" w:cs="仿宋_GB2312"/>
                <w:color w:val="auto"/>
                <w:sz w:val="24"/>
                <w:lang w:eastAsia="zh-CN"/>
              </w:rPr>
            </w:pPr>
            <w:r>
              <w:rPr>
                <w:rFonts w:hint="eastAsia" w:ascii="仿宋_GB2312" w:cs="仿宋_GB2312"/>
                <w:color w:val="auto"/>
                <w:sz w:val="24"/>
                <w:lang w:eastAsia="zh-CN"/>
              </w:rPr>
              <w:t>主办单位意见</w:t>
            </w:r>
          </w:p>
        </w:tc>
        <w:tc>
          <w:tcPr>
            <w:tcW w:w="7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3120" w:firstLineChars="1300"/>
              <w:jc w:val="both"/>
              <w:rPr>
                <w:rFonts w:hint="eastAsia" w:ascii="仿宋_GB2312" w:cs="Times New Roman"/>
                <w:color w:val="auto"/>
                <w:sz w:val="24"/>
                <w:lang w:eastAsia="zh-CN"/>
              </w:rPr>
            </w:pPr>
          </w:p>
          <w:p>
            <w:pPr>
              <w:spacing w:line="360" w:lineRule="exact"/>
              <w:ind w:firstLine="3120" w:firstLineChars="1300"/>
              <w:jc w:val="both"/>
              <w:rPr>
                <w:rFonts w:hint="eastAsia" w:ascii="仿宋_GB2312" w:cs="Times New Roman"/>
                <w:color w:val="auto"/>
                <w:sz w:val="24"/>
                <w:lang w:eastAsia="zh-CN"/>
              </w:rPr>
            </w:pPr>
          </w:p>
          <w:p>
            <w:pPr>
              <w:spacing w:line="360" w:lineRule="exact"/>
              <w:ind w:firstLine="3120" w:firstLineChars="1300"/>
              <w:jc w:val="both"/>
              <w:rPr>
                <w:rFonts w:hint="eastAsia" w:ascii="仿宋_GB2312" w:cs="Times New Roman"/>
                <w:color w:val="auto"/>
                <w:sz w:val="24"/>
                <w:lang w:eastAsia="zh-CN"/>
              </w:rPr>
            </w:pPr>
          </w:p>
          <w:p>
            <w:pPr>
              <w:spacing w:line="360" w:lineRule="exact"/>
              <w:ind w:firstLine="4560" w:firstLineChars="1900"/>
              <w:jc w:val="both"/>
              <w:rPr>
                <w:rFonts w:hint="eastAsia" w:ascii="仿宋_GB2312" w:cs="Times New Roman"/>
                <w:color w:val="auto"/>
                <w:sz w:val="24"/>
                <w:lang w:eastAsia="zh-CN"/>
              </w:rPr>
            </w:pPr>
            <w:r>
              <w:rPr>
                <w:rFonts w:hint="eastAsia" w:ascii="仿宋_GB2312" w:cs="Times New Roman"/>
                <w:color w:val="auto"/>
                <w:sz w:val="24"/>
                <w:lang w:eastAsia="zh-CN"/>
              </w:rPr>
              <w:t>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竞赛组织实施方案（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一、竞赛目的和意义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二、组织机构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明确主办单位、承办单位，成立竞赛组委会及组委会内设机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构，组委会内设机构一般为办公室、监督仲裁工作组和技术工作组等。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三、竞赛内容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明确内容：一是竞赛职业工种、二是竞赛标准、三是竞赛命题（命题方式、理论和实际操作）、四是考核模块。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四、竞赛实施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明确竞赛实施中涉及的关键内容，如时间、地点、赛制、参赛名额和报名程序等。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五、竞赛奖励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拟定竞赛项目的竞赛奖励措施。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六、工作要求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一般从组织领导、技术规则、新闻宣传、安全防疫等方面明确工作要求。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七、竞赛经费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拟定竞赛项目的经费筹集、预算方案等。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IzY2M3OGU5ZWM2ZDBkMzA5YjI0NjNmY2Y0ZTMwMzIifQ=="/>
  </w:docVars>
  <w:rsids>
    <w:rsidRoot w:val="666A65DD"/>
    <w:rsid w:val="666A6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2024-04-23T03:24:00Z</dcterms:created>
  <dc:creator>Administrator</dc:creator>
  <cp:lastModifiedBy>Administrator</cp:lastModifiedBy>
  <dcterms:modified xsi:type="dcterms:W3CDTF">2024-04-23T03:25:27Z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B30C93FCCA254E7A994C324DBD0DC45E_11</vt:lpwstr>
  </property>
</Properties>
</file>