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67938">
      <w:pPr>
        <w:snapToGrid w:val="0"/>
        <w:spacing w:line="596" w:lineRule="exact"/>
        <w:jc w:val="center"/>
        <w:textAlignment w:val="top"/>
        <w:rPr>
          <w:rFonts w:hint="default" w:ascii="方正小标宋简体" w:hAnsi="宋体" w:eastAsia="方正小标宋简体" w:cs="Times New Roman"/>
          <w:b w:val="0"/>
          <w:bCs w:val="0"/>
          <w:sz w:val="40"/>
          <w:szCs w:val="40"/>
          <w:highlight w:val="none"/>
        </w:rPr>
      </w:pPr>
      <w:bookmarkStart w:id="0" w:name="_GoBack"/>
      <w:r>
        <w:rPr>
          <w:rFonts w:hint="default" w:ascii="方正小标宋简体" w:hAnsi="宋体" w:eastAsia="方正小标宋简体" w:cs="Times New Roman"/>
          <w:b w:val="0"/>
          <w:bCs w:val="0"/>
          <w:sz w:val="40"/>
          <w:szCs w:val="40"/>
          <w:highlight w:val="none"/>
        </w:rPr>
        <w:t>创业项目计划书内容要点</w:t>
      </w:r>
      <w:bookmarkEnd w:id="0"/>
    </w:p>
    <w:p w14:paraId="33F04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top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</w:p>
    <w:p w14:paraId="38C19FB9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</w:rPr>
        <w:t>一、基本情况</w:t>
      </w:r>
    </w:p>
    <w:p w14:paraId="6E1E3F69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highlight w:val="none"/>
        </w:rPr>
        <w:t>（一）经营业务：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符合国家和我省产业结构调整的发展导向，符合创业者技能或当地资源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  <w:lang w:eastAsia="zh-CN"/>
        </w:rPr>
        <w:t>。</w:t>
      </w:r>
    </w:p>
    <w:p w14:paraId="12CF5A9D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（二）社会、经济效益：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如带动就业、纳税情况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  <w:lang w:eastAsia="zh-CN"/>
        </w:rPr>
        <w:t>。</w:t>
      </w:r>
    </w:p>
    <w:p w14:paraId="28BC797C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  <w:t>二、项目亮点</w:t>
      </w:r>
    </w:p>
    <w:p w14:paraId="2029614F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（一）科技含量：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技术和产品具有原创性、新颖性，取得一定的创新成果（知识产权、创新奖励、行业认可等）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  <w:lang w:eastAsia="zh-CN"/>
        </w:rPr>
        <w:t>。</w:t>
      </w:r>
    </w:p>
    <w:p w14:paraId="6EBC69A6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（二）产品或经营、服务创新：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在商业模式、市场营销、应用场景等经营或服务方面取得创新。</w:t>
      </w:r>
    </w:p>
    <w:p w14:paraId="2ED8D5F1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</w:pPr>
      <w:r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  <w:t>三、市场前景</w:t>
      </w:r>
      <w:r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  <w:br w:type="textWrapping"/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 xml:space="preserve">    </w:t>
      </w: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（一）调查分析：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已对市场进行调查研究，并对调查结果进行分</w:t>
      </w: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析和验证，有明确的目标市场，有较好的市场需求和市场前景。</w:t>
      </w:r>
    </w:p>
    <w:p w14:paraId="1E7A9095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（二）预期效益</w:t>
      </w: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  <w:lang w:eastAsia="zh-CN"/>
        </w:rPr>
        <w:t>。</w:t>
      </w:r>
    </w:p>
    <w:p w14:paraId="71649891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  <w:t>四、团队情况</w:t>
      </w:r>
    </w:p>
    <w:p w14:paraId="56A74927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（一）制度建设：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为保障团队运作规范高效，各项规章制度建设情况。</w:t>
      </w:r>
    </w:p>
    <w:p w14:paraId="652A195B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（二）团队潜力：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团队成员专业及经验情况。</w:t>
      </w:r>
    </w:p>
    <w:p w14:paraId="0A2C3046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（三）分工情况：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团队内部职责分工安排情况。</w:t>
      </w:r>
    </w:p>
    <w:p w14:paraId="517F9B59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  <w:t>五、财务状况</w:t>
      </w:r>
    </w:p>
    <w:p w14:paraId="50A4CB65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（一）年度财务：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项目年度收支情况。</w:t>
      </w:r>
    </w:p>
    <w:p w14:paraId="2DF13E08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（二）股本结构：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股东权益分配结构。</w:t>
      </w:r>
    </w:p>
    <w:p w14:paraId="64AE7FDC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（三）融资方案：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融资策略方案。</w:t>
      </w:r>
    </w:p>
    <w:p w14:paraId="6F399F31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  <w:t>六、发展战略</w:t>
      </w:r>
    </w:p>
    <w:p w14:paraId="2D70FBC4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（一）经营理念</w:t>
      </w: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  <w:lang w:eastAsia="zh-CN"/>
        </w:rPr>
        <w:t>。</w:t>
      </w:r>
    </w:p>
    <w:p w14:paraId="2E9614F9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（二）战略目标：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长期和短期目标及实施计划。</w:t>
      </w:r>
    </w:p>
    <w:p w14:paraId="38323A65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</w:pPr>
      <w:r>
        <w:rPr>
          <w:rFonts w:hint="default" w:ascii="黑体" w:hAnsi="黑体" w:eastAsia="黑体" w:cs="黑体"/>
          <w:color w:val="auto"/>
          <w:sz w:val="30"/>
          <w:szCs w:val="30"/>
          <w:highlight w:val="none"/>
        </w:rPr>
        <w:t>七、风险应对</w:t>
      </w:r>
    </w:p>
    <w:p w14:paraId="11049E00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（一）风险预判：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预判可能存在的潜在风险。</w:t>
      </w:r>
    </w:p>
    <w:p w14:paraId="0BB240BB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仿宋" w:cs="仿宋"/>
          <w:color w:val="auto"/>
          <w:sz w:val="30"/>
          <w:szCs w:val="30"/>
          <w:highlight w:val="none"/>
        </w:rPr>
      </w:pPr>
      <w:r>
        <w:rPr>
          <w:rFonts w:hint="default" w:ascii="楷体_GB2312" w:hAnsi="楷体_GB2312" w:eastAsia="楷体_GB2312" w:cs="楷体_GB2312"/>
          <w:color w:val="auto"/>
          <w:sz w:val="30"/>
          <w:szCs w:val="30"/>
          <w:highlight w:val="none"/>
        </w:rPr>
        <w:t>（二）应对措施：</w:t>
      </w:r>
      <w:r>
        <w:rPr>
          <w:rFonts w:hint="default" w:ascii="仿宋_GB2312" w:hAnsi="仿宋" w:cs="仿宋"/>
          <w:color w:val="auto"/>
          <w:sz w:val="30"/>
          <w:szCs w:val="30"/>
          <w:highlight w:val="none"/>
        </w:rPr>
        <w:t>制定针对性的风险应对策略以降低风险影响。</w:t>
      </w:r>
    </w:p>
    <w:p w14:paraId="222C5C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C5AE8"/>
    <w:rsid w:val="658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2025-03-11T10:12:00Z</dcterms:created>
  <dc:creator>陳阿囡</dc:creator>
  <cp:lastModifiedBy>陳阿囡</cp:lastModifiedBy>
  <dcterms:modified xsi:type="dcterms:W3CDTF">2025-03-11T10:12:17Z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B3CFBBD8D08B4B41BDAE54EFF29234B2_11</vt:lpwstr>
  </property>
  <property fmtid="{D5CDD505-2E9C-101B-9397-08002B2CF9AE}" pid="4" name="KSOTemplateDocerSaveRecord">
    <vt:lpwstr>eyJoZGlkIjoiMzEwNTM5NzYwMDRjMzkwZTVkZjY2ODkwMGIxNGU0OTUiLCJ1c2VySWQiOiI1OTkwNDA4NDkifQ==</vt:lpwstr>
  </property>
</Properties>
</file>