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pacing w:val="8"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闽江学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>院</w:t>
      </w:r>
      <w:r>
        <w:rPr>
          <w:rFonts w:hint="eastAsia" w:ascii="宋体" w:hAnsi="宋体" w:cs="宋体"/>
          <w:b/>
          <w:bCs/>
          <w:spacing w:val="8"/>
          <w:sz w:val="32"/>
          <w:szCs w:val="32"/>
        </w:rPr>
        <w:t>2022届毕业生生源信息一览表</w:t>
      </w:r>
    </w:p>
    <w:p>
      <w:pPr>
        <w:jc w:val="center"/>
        <w:rPr>
          <w:rFonts w:hint="eastAsia" w:ascii="宋体" w:hAnsi="宋体" w:cs="宋体"/>
          <w:b/>
          <w:bCs/>
          <w:spacing w:val="8"/>
          <w:sz w:val="32"/>
          <w:szCs w:val="32"/>
        </w:rPr>
      </w:pPr>
    </w:p>
    <w:tbl>
      <w:tblPr>
        <w:tblStyle w:val="2"/>
        <w:tblW w:w="87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380"/>
        <w:gridCol w:w="1080"/>
        <w:gridCol w:w="113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3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生源数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新华都商学院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工商管理（非全日制）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硕士（MBA）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税收学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旅游管理（专升本）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材料与化学工程学院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地理与海洋学院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导航工程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自然地理与资源环境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汉语言文学(师范)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文物与博物馆学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服装与艺术工程学院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服装与服饰设计（服装设计艺术）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服装与服饰设计（时尚造型与表演）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服装与服饰设计（时尚传媒艺术）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服装设计与工程（专升本）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雕塑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绘画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音乐学（师范）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英语（专升本）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法学院  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数科学院（软件学院）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软件工程（春招本科）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软件工程（秋招本科）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软件工程（专升本）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软件工程（闽台）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计算机与控制工程学院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计算机科学与技术（人工智能）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海峡学院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金融学（闽台合作）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国际经济与贸易（闽台合作）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服装与服饰设计（闽台合作）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工商管理（闽台合作）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会计学（闽台合作）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环境与艺术设计（闽台合作）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广告学（闽台合作）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国际会计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pacing w:val="8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5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2022-03-29T06:48:09Z</dcterms:created>
  <dc:creator>admin</dc:creator>
  <cp:lastModifiedBy>自贸委人力局赵锦标</cp:lastModifiedBy>
  <dcterms:modified xsi:type="dcterms:W3CDTF">2022-03-29T06:48:52Z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11FFA22325BA4F8A877B4F4D15CC1221</vt:lpwstr>
  </property>
</Properties>
</file>